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01113">
      <w:pPr>
        <w:rPr>
          <w:rFonts w:ascii="Arial"/>
          <w:sz w:val="21"/>
        </w:rPr>
      </w:pPr>
    </w:p>
    <w:p w14:paraId="06D7DDDA">
      <w:pPr>
        <w:rPr>
          <w:rFonts w:ascii="Arial"/>
          <w:sz w:val="21"/>
        </w:rPr>
      </w:pPr>
    </w:p>
    <w:p w14:paraId="71FBC2BC">
      <w:pPr>
        <w:rPr>
          <w:rFonts w:ascii="Arial"/>
          <w:sz w:val="21"/>
        </w:rPr>
      </w:pPr>
    </w:p>
    <w:p w14:paraId="294541F5">
      <w:pPr>
        <w:rPr>
          <w:rFonts w:ascii="Arial"/>
          <w:sz w:val="21"/>
        </w:rPr>
      </w:pPr>
    </w:p>
    <w:p w14:paraId="183EF17E">
      <w:pPr>
        <w:rPr>
          <w:rFonts w:ascii="Arial"/>
          <w:sz w:val="21"/>
        </w:rPr>
      </w:pPr>
    </w:p>
    <w:p w14:paraId="2F0861DC">
      <w:pPr>
        <w:spacing w:line="241" w:lineRule="auto"/>
        <w:rPr>
          <w:rFonts w:ascii="Arial"/>
          <w:sz w:val="21"/>
        </w:rPr>
      </w:pPr>
    </w:p>
    <w:p w14:paraId="0811A296">
      <w:pPr>
        <w:spacing w:line="241" w:lineRule="auto"/>
        <w:rPr>
          <w:rFonts w:ascii="Arial"/>
          <w:sz w:val="21"/>
        </w:rPr>
      </w:pPr>
    </w:p>
    <w:p w14:paraId="420859AA">
      <w:pPr>
        <w:spacing w:line="241" w:lineRule="auto"/>
        <w:rPr>
          <w:rFonts w:ascii="Arial"/>
          <w:sz w:val="21"/>
        </w:rPr>
      </w:pPr>
    </w:p>
    <w:p w14:paraId="5E55C261">
      <w:pPr>
        <w:spacing w:line="241" w:lineRule="auto"/>
        <w:rPr>
          <w:rFonts w:ascii="Arial"/>
          <w:sz w:val="21"/>
        </w:rPr>
      </w:pPr>
    </w:p>
    <w:p w14:paraId="379E284F">
      <w:pPr>
        <w:spacing w:line="241" w:lineRule="auto"/>
        <w:rPr>
          <w:rFonts w:ascii="Arial"/>
          <w:sz w:val="21"/>
        </w:rPr>
      </w:pPr>
    </w:p>
    <w:p w14:paraId="4001CCE2">
      <w:pPr>
        <w:spacing w:line="241" w:lineRule="auto"/>
        <w:jc w:val="center"/>
        <w:rPr>
          <w:rFonts w:ascii="Arial"/>
          <w:sz w:val="21"/>
        </w:rPr>
      </w:pPr>
    </w:p>
    <w:p w14:paraId="1F985951">
      <w:pPr>
        <w:spacing w:line="241" w:lineRule="auto"/>
        <w:jc w:val="center"/>
        <w:rPr>
          <w:rFonts w:ascii="Arial"/>
          <w:sz w:val="21"/>
        </w:rPr>
      </w:pPr>
    </w:p>
    <w:p w14:paraId="4C24818B">
      <w:pPr>
        <w:spacing w:before="153" w:line="442" w:lineRule="auto"/>
        <w:ind w:left="3341" w:right="74" w:hanging="3247"/>
        <w:jc w:val="center"/>
        <w:rPr>
          <w:rFonts w:hint="eastAsia" w:ascii="宋体" w:hAnsi="宋体" w:eastAsia="宋体" w:cs="宋体"/>
          <w:spacing w:val="1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嘉兴苏古德塑业股份有限公司</w:t>
      </w:r>
    </w:p>
    <w:p w14:paraId="509F8E01">
      <w:pPr>
        <w:spacing w:before="153" w:line="442" w:lineRule="auto"/>
        <w:ind w:left="3341" w:right="74" w:hanging="3247"/>
        <w:jc w:val="center"/>
        <w:rPr>
          <w:rFonts w:ascii="宋体" w:hAnsi="宋体" w:eastAsia="宋体" w:cs="宋体"/>
          <w:sz w:val="47"/>
          <w:szCs w:val="47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47"/>
          <w:szCs w:val="47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5"/>
          <w:sz w:val="47"/>
          <w:szCs w:val="47"/>
          <w:lang w:val="en-US" w:eastAsia="zh-CN"/>
        </w:rPr>
        <w:t>3</w:t>
      </w:r>
      <w:r>
        <w:rPr>
          <w:rFonts w:ascii="宋体" w:hAnsi="宋体" w:eastAsia="宋体" w:cs="宋体"/>
          <w:spacing w:val="5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</w:p>
    <w:p w14:paraId="764F80D3">
      <w:pPr>
        <w:spacing w:before="2" w:line="221" w:lineRule="auto"/>
        <w:ind w:left="2144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宋体" w:hAnsi="宋体" w:eastAsia="宋体" w:cs="宋体"/>
          <w:spacing w:val="9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品碳足迹评价报告</w:t>
      </w:r>
    </w:p>
    <w:p w14:paraId="53C0C10A">
      <w:pPr>
        <w:spacing w:line="252" w:lineRule="auto"/>
        <w:rPr>
          <w:rFonts w:ascii="Arial"/>
          <w:sz w:val="21"/>
        </w:rPr>
      </w:pPr>
    </w:p>
    <w:p w14:paraId="36718E48">
      <w:pPr>
        <w:spacing w:line="252" w:lineRule="auto"/>
        <w:rPr>
          <w:rFonts w:ascii="Arial"/>
          <w:sz w:val="21"/>
        </w:rPr>
      </w:pPr>
    </w:p>
    <w:p w14:paraId="2D27D5E0">
      <w:pPr>
        <w:spacing w:line="252" w:lineRule="auto"/>
        <w:rPr>
          <w:rFonts w:ascii="Arial"/>
          <w:sz w:val="21"/>
        </w:rPr>
      </w:pPr>
    </w:p>
    <w:p w14:paraId="35344436">
      <w:pPr>
        <w:spacing w:line="252" w:lineRule="auto"/>
        <w:rPr>
          <w:rFonts w:ascii="Arial"/>
          <w:sz w:val="21"/>
        </w:rPr>
      </w:pPr>
    </w:p>
    <w:p w14:paraId="23A1BF40">
      <w:pPr>
        <w:spacing w:line="252" w:lineRule="auto"/>
        <w:rPr>
          <w:rFonts w:ascii="Arial"/>
          <w:sz w:val="21"/>
        </w:rPr>
      </w:pPr>
    </w:p>
    <w:p w14:paraId="5FF60568">
      <w:pPr>
        <w:spacing w:line="252" w:lineRule="auto"/>
        <w:rPr>
          <w:rFonts w:ascii="Arial"/>
          <w:sz w:val="21"/>
        </w:rPr>
      </w:pPr>
    </w:p>
    <w:p w14:paraId="06566FC9">
      <w:pPr>
        <w:spacing w:line="252" w:lineRule="auto"/>
        <w:rPr>
          <w:rFonts w:ascii="Arial"/>
          <w:sz w:val="21"/>
        </w:rPr>
      </w:pPr>
    </w:p>
    <w:p w14:paraId="088EEC9C">
      <w:pPr>
        <w:spacing w:line="252" w:lineRule="auto"/>
        <w:rPr>
          <w:rFonts w:ascii="Arial"/>
          <w:sz w:val="21"/>
        </w:rPr>
      </w:pPr>
    </w:p>
    <w:p w14:paraId="2BB29DA1">
      <w:pPr>
        <w:spacing w:line="252" w:lineRule="auto"/>
        <w:rPr>
          <w:rFonts w:ascii="Arial"/>
          <w:sz w:val="21"/>
        </w:rPr>
      </w:pPr>
    </w:p>
    <w:p w14:paraId="4924189E">
      <w:pPr>
        <w:spacing w:line="252" w:lineRule="auto"/>
        <w:rPr>
          <w:rFonts w:ascii="Arial"/>
          <w:sz w:val="21"/>
        </w:rPr>
      </w:pPr>
    </w:p>
    <w:p w14:paraId="0B0358C1">
      <w:pPr>
        <w:spacing w:line="253" w:lineRule="auto"/>
        <w:rPr>
          <w:rFonts w:ascii="Arial"/>
          <w:sz w:val="21"/>
        </w:rPr>
      </w:pPr>
    </w:p>
    <w:p w14:paraId="7EFC7080">
      <w:pPr>
        <w:spacing w:line="253" w:lineRule="auto"/>
        <w:rPr>
          <w:rFonts w:ascii="Arial"/>
          <w:sz w:val="21"/>
        </w:rPr>
      </w:pPr>
    </w:p>
    <w:p w14:paraId="6CC685A9">
      <w:pPr>
        <w:spacing w:line="253" w:lineRule="auto"/>
        <w:rPr>
          <w:rFonts w:ascii="Arial"/>
          <w:sz w:val="21"/>
        </w:rPr>
      </w:pPr>
    </w:p>
    <w:p w14:paraId="0B922739">
      <w:pPr>
        <w:spacing w:line="253" w:lineRule="auto"/>
        <w:rPr>
          <w:rFonts w:ascii="Arial"/>
          <w:sz w:val="21"/>
        </w:rPr>
      </w:pPr>
    </w:p>
    <w:p w14:paraId="28C10A9E">
      <w:pPr>
        <w:spacing w:line="253" w:lineRule="auto"/>
        <w:rPr>
          <w:rFonts w:hint="eastAsia" w:ascii="Arial" w:eastAsia="宋体"/>
          <w:sz w:val="21"/>
          <w:lang w:eastAsia="zh-CN"/>
        </w:rPr>
      </w:pPr>
    </w:p>
    <w:p w14:paraId="262E46CA">
      <w:pPr>
        <w:spacing w:line="253" w:lineRule="auto"/>
        <w:rPr>
          <w:rFonts w:ascii="Arial"/>
          <w:sz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83820</wp:posOffset>
            </wp:positionV>
            <wp:extent cx="1452245" cy="1452245"/>
            <wp:effectExtent l="0" t="0" r="10795" b="10795"/>
            <wp:wrapNone/>
            <wp:docPr id="8" name="图片 1" descr="公司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公司印章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E4A5B">
      <w:pPr>
        <w:spacing w:line="253" w:lineRule="auto"/>
        <w:rPr>
          <w:rFonts w:ascii="Arial"/>
          <w:sz w:val="21"/>
        </w:rPr>
      </w:pPr>
    </w:p>
    <w:p w14:paraId="0D339F12">
      <w:pPr>
        <w:spacing w:line="253" w:lineRule="auto"/>
        <w:rPr>
          <w:rFonts w:ascii="Arial"/>
          <w:sz w:val="21"/>
        </w:rPr>
      </w:pPr>
    </w:p>
    <w:p w14:paraId="201FF84D">
      <w:pPr>
        <w:spacing w:before="114" w:line="224" w:lineRule="auto"/>
        <w:ind w:left="843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第三方机构名称：</w:t>
      </w:r>
      <w:r>
        <w:rPr>
          <w:rFonts w:hint="eastAsia" w:ascii="宋体" w:hAnsi="宋体" w:eastAsia="宋体" w:cs="宋体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杭州南其科技有限公司</w:t>
      </w:r>
    </w:p>
    <w:p w14:paraId="7BF63E90">
      <w:pPr>
        <w:spacing w:before="336" w:line="223" w:lineRule="auto"/>
        <w:ind w:left="8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告签发日期：</w:t>
      </w: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8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Times New Roman" w:hAnsi="Times New Roman" w:eastAsia="宋体" w:cs="Times New Roman"/>
          <w:b/>
          <w:bCs/>
          <w:spacing w:val="8"/>
          <w:sz w:val="35"/>
          <w:szCs w:val="35"/>
          <w:lang w:val="en-US" w:eastAsia="zh-CN"/>
        </w:rPr>
        <w:t>6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59B5EFB">
      <w:pPr>
        <w:sectPr>
          <w:headerReference r:id="rId5" w:type="default"/>
          <w:footerReference r:id="rId6" w:type="default"/>
          <w:pgSz w:w="11910" w:h="16850"/>
          <w:pgMar w:top="1432" w:right="1786" w:bottom="0" w:left="1786" w:header="0" w:footer="0" w:gutter="0"/>
          <w:cols w:space="720" w:num="1"/>
        </w:sectPr>
      </w:pPr>
    </w:p>
    <w:p w14:paraId="20942C97">
      <w:pPr>
        <w:spacing w:before="101" w:line="223" w:lineRule="auto"/>
        <w:ind w:left="1880"/>
        <w:outlineLvl w:val="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第</w:t>
      </w: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一章  报告主体基本情况</w:t>
      </w:r>
    </w:p>
    <w:p w14:paraId="07BA0E92">
      <w:pPr>
        <w:spacing w:line="303" w:lineRule="auto"/>
        <w:rPr>
          <w:rFonts w:ascii="Arial"/>
          <w:sz w:val="21"/>
        </w:rPr>
      </w:pPr>
    </w:p>
    <w:p w14:paraId="3A59D3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宋体" w:hAnsi="宋体" w:eastAsia="宋体" w:cs="宋体"/>
          <w:b w:val="0"/>
          <w:bCs w:val="0"/>
          <w:sz w:val="31"/>
          <w:szCs w:val="31"/>
        </w:rPr>
      </w:pPr>
      <w:r>
        <w:rPr>
          <w:rFonts w:ascii="宋体" w:hAnsi="宋体" w:eastAsia="宋体" w:cs="宋体"/>
          <w:b w:val="0"/>
          <w:bCs w:val="0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企业名称：</w:t>
      </w:r>
      <w:r>
        <w:rPr>
          <w:rFonts w:hint="eastAsia" w:ascii="宋体" w:hAnsi="宋体" w:eastAsia="宋体" w:cs="宋体"/>
          <w:b w:val="0"/>
          <w:bCs w:val="0"/>
          <w:spacing w:val="5"/>
          <w:sz w:val="31"/>
          <w:szCs w:val="31"/>
        </w:rPr>
        <w:t>嘉兴苏古德塑业股份有限公司</w:t>
      </w:r>
      <w:r>
        <w:rPr>
          <w:rFonts w:ascii="宋体" w:hAnsi="宋体" w:eastAsia="宋体" w:cs="宋体"/>
          <w:b w:val="0"/>
          <w:bCs w:val="0"/>
          <w:sz w:val="31"/>
          <w:szCs w:val="31"/>
        </w:rPr>
        <w:t xml:space="preserve"> </w:t>
      </w:r>
    </w:p>
    <w:p w14:paraId="02CF09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z w:val="31"/>
          <w:szCs w:val="31"/>
          <w:lang w:eastAsia="zh-CN"/>
        </w:rPr>
      </w:pPr>
      <w:r>
        <w:rPr>
          <w:rFonts w:ascii="宋体" w:hAnsi="宋体" w:eastAsia="宋体" w:cs="宋体"/>
          <w:b w:val="0"/>
          <w:bCs w:val="0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hAnsi="宋体" w:eastAsia="宋体" w:cs="宋体"/>
          <w:b w:val="0"/>
          <w:bCs w:val="0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位性质：</w:t>
      </w:r>
      <w:r>
        <w:rPr>
          <w:rFonts w:hint="eastAsia" w:ascii="宋体" w:hAnsi="宋体" w:eastAsia="宋体" w:cs="宋体"/>
          <w:b w:val="0"/>
          <w:bCs w:val="0"/>
          <w:spacing w:val="5"/>
          <w:sz w:val="31"/>
          <w:szCs w:val="31"/>
          <w:lang w:val="en-US" w:eastAsia="zh-CN"/>
        </w:rPr>
        <w:t>民营企业</w:t>
      </w:r>
    </w:p>
    <w:p w14:paraId="181153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宋体" w:hAnsi="宋体" w:eastAsia="宋体" w:cs="宋体"/>
          <w:b w:val="0"/>
          <w:bCs w:val="0"/>
          <w:sz w:val="31"/>
          <w:szCs w:val="31"/>
        </w:rPr>
      </w:pPr>
      <w:r>
        <w:rPr>
          <w:rFonts w:ascii="宋体" w:hAnsi="宋体" w:eastAsia="宋体" w:cs="宋体"/>
          <w:b w:val="0"/>
          <w:bCs w:val="0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b w:val="0"/>
          <w:bCs w:val="0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告年度：</w:t>
      </w:r>
      <w:r>
        <w:rPr>
          <w:rFonts w:ascii="Times New Roman" w:hAnsi="Times New Roman" w:eastAsia="Times New Roman" w:cs="Times New Roman"/>
          <w:b w:val="0"/>
          <w:bCs w:val="0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spacing w:val="7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b w:val="0"/>
          <w:bCs w:val="0"/>
          <w:spacing w:val="7"/>
          <w:sz w:val="31"/>
          <w:szCs w:val="31"/>
        </w:rPr>
        <w:t>年</w:t>
      </w:r>
    </w:p>
    <w:p w14:paraId="7AD40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6"/>
          <w:sz w:val="31"/>
          <w:szCs w:val="31"/>
        </w:rPr>
      </w:pPr>
      <w:r>
        <w:rPr>
          <w:rFonts w:ascii="宋体" w:hAnsi="宋体" w:eastAsia="宋体" w:cs="宋体"/>
          <w:b w:val="0"/>
          <w:bCs w:val="0"/>
          <w:spacing w:val="15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</w:t>
      </w:r>
      <w:r>
        <w:rPr>
          <w:rFonts w:ascii="宋体" w:hAnsi="宋体" w:eastAsia="宋体" w:cs="宋体"/>
          <w:b w:val="0"/>
          <w:bCs w:val="0"/>
          <w:spacing w:val="9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属行业：</w:t>
      </w:r>
      <w:r>
        <w:rPr>
          <w:rFonts w:hint="eastAsia" w:ascii="宋体" w:hAnsi="宋体" w:eastAsia="宋体" w:cs="宋体"/>
          <w:b w:val="0"/>
          <w:bCs w:val="0"/>
          <w:spacing w:val="6"/>
          <w:sz w:val="31"/>
          <w:szCs w:val="31"/>
        </w:rPr>
        <w:t>金属表面处理及热处理加工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sz w:val="31"/>
          <w:szCs w:val="31"/>
        </w:rPr>
        <w:t>（C3360）</w:t>
      </w:r>
    </w:p>
    <w:p w14:paraId="460A49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sz w:val="31"/>
          <w:szCs w:val="31"/>
        </w:rPr>
      </w:pPr>
      <w:r>
        <w:rPr>
          <w:rFonts w:ascii="宋体" w:hAnsi="宋体" w:eastAsia="宋体" w:cs="宋体"/>
          <w:b w:val="0"/>
          <w:bCs w:val="0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统一</w:t>
      </w:r>
      <w:r>
        <w:rPr>
          <w:rFonts w:ascii="宋体" w:hAnsi="宋体" w:eastAsia="宋体" w:cs="宋体"/>
          <w:b w:val="0"/>
          <w:bCs w:val="0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b w:val="0"/>
          <w:bCs w:val="0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会信用代码：</w:t>
      </w:r>
      <w:r>
        <w:rPr>
          <w:rFonts w:hint="eastAsia" w:ascii="Times New Roman" w:hAnsi="Times New Roman" w:eastAsia="Times New Roman" w:cs="Times New Roman"/>
          <w:b w:val="0"/>
          <w:bCs w:val="0"/>
          <w:spacing w:val="6"/>
          <w:sz w:val="31"/>
          <w:szCs w:val="31"/>
        </w:rPr>
        <w:t>913301096767708146</w:t>
      </w:r>
    </w:p>
    <w:p w14:paraId="1BCDFA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 w:val="0"/>
          <w:bCs w:val="0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</w:t>
      </w:r>
      <w:r>
        <w:rPr>
          <w:rFonts w:ascii="宋体" w:hAnsi="宋体" w:eastAsia="宋体" w:cs="宋体"/>
          <w:b w:val="0"/>
          <w:bCs w:val="0"/>
          <w:spacing w:val="9"/>
          <w:sz w:val="31"/>
          <w:szCs w:val="31"/>
        </w:rPr>
        <w:t>：</w:t>
      </w:r>
      <w:r>
        <w:rPr>
          <w:rFonts w:hint="eastAsia" w:ascii="宋体" w:hAnsi="宋体" w:eastAsia="宋体" w:cs="宋体"/>
          <w:b w:val="0"/>
          <w:bCs w:val="0"/>
          <w:spacing w:val="9"/>
          <w:sz w:val="31"/>
          <w:szCs w:val="31"/>
          <w:lang w:val="en-US" w:eastAsia="zh-CN"/>
        </w:rPr>
        <w:t>胡祥文</w:t>
      </w:r>
    </w:p>
    <w:p w14:paraId="61E0F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jc w:val="both"/>
        <w:textAlignment w:val="baseline"/>
        <w:rPr>
          <w:rFonts w:hint="eastAsia" w:ascii="Times New Roman" w:hAnsi="Times New Roman" w:eastAsia="宋体" w:cs="宋体"/>
          <w:spacing w:val="-2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企业简介</w:t>
      </w:r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Times New Roman" w:hAnsi="Times New Roman" w:eastAsia="宋体" w:cs="宋体"/>
          <w:spacing w:val="-2"/>
          <w:sz w:val="31"/>
          <w:szCs w:val="31"/>
        </w:rPr>
        <w:t>嘉兴苏古德塑业股份有限公司（以下简称“苏古德塑业”或者公司）成立于2008年7月，注册资本1000万元，位于浙江省浙江省嘉兴市万国路3418号C幢4楼，公司专注于食品级或工业级不粘、耐磨、润滑、高绝缘、耐腐蚀等功能性涂层喷涂加工业务。公司拥有先进的现代化的生产设备及实验室测试设备，</w:t>
      </w:r>
    </w:p>
    <w:p w14:paraId="567564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both"/>
        <w:textAlignment w:val="baseline"/>
        <w:rPr>
          <w:rFonts w:hint="eastAsia" w:ascii="Times New Roman" w:hAnsi="Times New Roman" w:eastAsia="宋体" w:cs="宋体"/>
          <w:spacing w:val="-2"/>
          <w:sz w:val="31"/>
          <w:szCs w:val="31"/>
        </w:rPr>
      </w:pPr>
      <w:r>
        <w:rPr>
          <w:rFonts w:hint="eastAsia" w:ascii="Times New Roman" w:hAnsi="Times New Roman" w:eastAsia="宋体" w:cs="宋体"/>
          <w:spacing w:val="-2"/>
          <w:sz w:val="31"/>
          <w:szCs w:val="31"/>
        </w:rPr>
        <w:t>公司内部全面推行现代化企业管理，管理团队年轻化，专业化，科技化，规范化，为产品的质量保驾护航。公司团队经过近 10 年对涂装行业的摸索，积累和沉淀了大量实战经验，品质得到了很大的提升，获得了良好的口碑，得到了客户一致的好评！目前最大工件喷涂尺寸可以达到 5 米长的室外喷绘机，小工件小到一根针大小的肿瘤切割激光刀。对外涂装加工的产品涵盖特氟龙、陶瓷、有机硅、粉体、搪瓷等。应用领域：电加热管、电烫斗、电饭锅、空气炸锅、不粘锅、烤盘、蛋糕模、电水壶、咖啡机、保温杯、豆浆机、高铁、喷绘机、医疗器械、幕墙、吊顶、抽油烟机等。吊顶、抽油烟机等。目前服务的主要客户包括三星、松下、苏泊尔、九阳、膳魔师、老板等国内外知名品牌，省内市场占有率达 50%以上，位列浙江省首位。公司于 2022 年被认定为浙江省科技型中小企业，并通过 ISO9001：2015 质量管理体系认证。</w:t>
      </w:r>
    </w:p>
    <w:p w14:paraId="6D0E86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both"/>
        <w:textAlignment w:val="baseline"/>
        <w:rPr>
          <w:rFonts w:hint="eastAsia" w:ascii="Times New Roman" w:hAnsi="Times New Roman" w:eastAsia="宋体" w:cs="宋体"/>
          <w:spacing w:val="-2"/>
          <w:sz w:val="31"/>
          <w:szCs w:val="31"/>
        </w:rPr>
      </w:pPr>
      <w:r>
        <w:rPr>
          <w:rFonts w:hint="eastAsia" w:ascii="Times New Roman" w:hAnsi="Times New Roman" w:eastAsia="宋体" w:cs="宋体"/>
          <w:spacing w:val="-2"/>
          <w:sz w:val="31"/>
          <w:szCs w:val="31"/>
        </w:rPr>
        <w:t>公司获专利共22项，完成省级工业新产品，2023年被认定为国家级高新技术企业，2024年被认定为浙江省专精特新中小企业。</w:t>
      </w:r>
    </w:p>
    <w:p w14:paraId="0540D0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ascii="Times New Roman" w:hAnsi="Times New Roman" w:eastAsia="宋体"/>
        </w:rPr>
        <w:sectPr>
          <w:footerReference r:id="rId7" w:type="default"/>
          <w:pgSz w:w="11910" w:h="16840"/>
          <w:pgMar w:top="1440" w:right="1800" w:bottom="1440" w:left="1800" w:header="567" w:footer="850" w:gutter="0"/>
          <w:pgNumType w:fmt="decimal" w:start="1"/>
          <w:cols w:space="720" w:num="1"/>
        </w:sectPr>
      </w:pPr>
    </w:p>
    <w:p w14:paraId="3F2D6066">
      <w:pPr>
        <w:spacing w:before="114" w:line="224" w:lineRule="auto"/>
        <w:ind w:left="296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第</w:t>
      </w:r>
      <w:r>
        <w:rPr>
          <w:rFonts w:ascii="宋体" w:hAnsi="宋体" w:eastAsia="宋体" w:cs="宋体"/>
          <w:spacing w:val="6"/>
          <w:sz w:val="35"/>
          <w:szCs w:val="35"/>
        </w:rPr>
        <w:t>二章  概述</w:t>
      </w:r>
    </w:p>
    <w:p w14:paraId="5FDF2623">
      <w:pPr>
        <w:spacing w:line="248" w:lineRule="auto"/>
        <w:rPr>
          <w:rFonts w:ascii="Arial"/>
          <w:sz w:val="21"/>
        </w:rPr>
      </w:pPr>
    </w:p>
    <w:p w14:paraId="25F5F315">
      <w:pPr>
        <w:spacing w:before="101" w:line="379" w:lineRule="auto"/>
        <w:ind w:left="27" w:right="112" w:firstLine="6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2"/>
          <w:sz w:val="31"/>
          <w:szCs w:val="31"/>
        </w:rPr>
        <w:t>碳</w:t>
      </w:r>
      <w:r>
        <w:rPr>
          <w:rFonts w:ascii="宋体" w:hAnsi="宋体" w:eastAsia="宋体" w:cs="宋体"/>
          <w:spacing w:val="38"/>
          <w:sz w:val="31"/>
          <w:szCs w:val="31"/>
        </w:rPr>
        <w:t>足迹是指一项活动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>(</w:t>
      </w:r>
      <w:r>
        <w:rPr>
          <w:rFonts w:ascii="宋体" w:hAnsi="宋体" w:eastAsia="宋体" w:cs="宋体"/>
          <w:spacing w:val="38"/>
          <w:sz w:val="31"/>
          <w:szCs w:val="31"/>
        </w:rPr>
        <w:t>或一种服务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>)</w:t>
      </w:r>
      <w:r>
        <w:rPr>
          <w:rFonts w:ascii="宋体" w:hAnsi="宋体" w:eastAsia="宋体" w:cs="宋体"/>
          <w:spacing w:val="38"/>
          <w:sz w:val="31"/>
          <w:szCs w:val="31"/>
        </w:rPr>
        <w:t>进行的过程中直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接或间</w:t>
      </w:r>
      <w:r>
        <w:rPr>
          <w:rFonts w:ascii="宋体" w:hAnsi="宋体" w:eastAsia="宋体" w:cs="宋体"/>
          <w:spacing w:val="-3"/>
          <w:sz w:val="31"/>
          <w:szCs w:val="31"/>
        </w:rPr>
        <w:t>接</w:t>
      </w:r>
      <w:r>
        <w:rPr>
          <w:rFonts w:ascii="宋体" w:hAnsi="宋体" w:eastAsia="宋体" w:cs="宋体"/>
          <w:spacing w:val="-2"/>
          <w:sz w:val="31"/>
          <w:szCs w:val="31"/>
        </w:rPr>
        <w:t>产生的二氧化碳或其他温室气体排放量，或是产品的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生命周期各阶段</w:t>
      </w:r>
      <w:r>
        <w:rPr>
          <w:rFonts w:ascii="宋体" w:hAnsi="宋体" w:eastAsia="宋体" w:cs="宋体"/>
          <w:spacing w:val="-2"/>
          <w:sz w:val="31"/>
          <w:szCs w:val="31"/>
        </w:rPr>
        <w:t>累积产生的二氧化碳或其他温室气体排放量用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二氧化碳等价表示。</w:t>
      </w:r>
    </w:p>
    <w:p w14:paraId="46E97628">
      <w:pPr>
        <w:spacing w:before="3" w:line="370" w:lineRule="auto"/>
        <w:ind w:left="34" w:right="83" w:firstLine="5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产品</w:t>
      </w:r>
      <w:r>
        <w:rPr>
          <w:rFonts w:ascii="宋体" w:hAnsi="宋体" w:eastAsia="宋体" w:cs="宋体"/>
          <w:spacing w:val="-3"/>
          <w:sz w:val="31"/>
          <w:szCs w:val="31"/>
        </w:rPr>
        <w:t>碳</w:t>
      </w:r>
      <w:r>
        <w:rPr>
          <w:rFonts w:ascii="宋体" w:hAnsi="宋体" w:eastAsia="宋体" w:cs="宋体"/>
          <w:spacing w:val="-2"/>
          <w:sz w:val="31"/>
          <w:szCs w:val="31"/>
        </w:rPr>
        <w:t>足迹是指每单位产品全生命周期(系统中前后衔接</w:t>
      </w:r>
      <w:r>
        <w:rPr>
          <w:rFonts w:ascii="宋体" w:hAnsi="宋体" w:eastAsia="宋体" w:cs="宋体"/>
          <w:spacing w:val="-42"/>
          <w:sz w:val="31"/>
          <w:szCs w:val="31"/>
        </w:rPr>
        <w:t>的</w:t>
      </w:r>
      <w:r>
        <w:rPr>
          <w:rFonts w:ascii="宋体" w:hAnsi="宋体" w:eastAsia="宋体" w:cs="宋体"/>
          <w:spacing w:val="-32"/>
          <w:sz w:val="31"/>
          <w:szCs w:val="31"/>
        </w:rPr>
        <w:t>一系列阶段，包括从自然界或从自然资源中获取原材料，直至最终</w:t>
      </w:r>
      <w:r>
        <w:rPr>
          <w:rFonts w:ascii="宋体" w:hAnsi="宋体" w:eastAsia="宋体" w:cs="宋体"/>
          <w:spacing w:val="-11"/>
          <w:sz w:val="31"/>
          <w:szCs w:val="31"/>
        </w:rPr>
        <w:t>处</w:t>
      </w:r>
      <w:r>
        <w:rPr>
          <w:rFonts w:ascii="宋体" w:hAnsi="宋体" w:eastAsia="宋体" w:cs="宋体"/>
          <w:spacing w:val="-9"/>
          <w:sz w:val="31"/>
          <w:szCs w:val="31"/>
        </w:rPr>
        <w:t>置。) 内产生的温室气体排放量。</w:t>
      </w:r>
    </w:p>
    <w:p w14:paraId="6165E641">
      <w:pPr>
        <w:tabs>
          <w:tab w:val="left" w:pos="196"/>
        </w:tabs>
        <w:spacing w:before="6" w:line="370" w:lineRule="auto"/>
        <w:ind w:left="28" w:right="39" w:firstLine="6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企业产品碳足迹的核算</w:t>
      </w:r>
      <w:r>
        <w:rPr>
          <w:rFonts w:ascii="宋体" w:hAnsi="宋体" w:eastAsia="宋体" w:cs="宋体"/>
          <w:sz w:val="31"/>
          <w:szCs w:val="31"/>
        </w:rPr>
        <w:t>应遵循从摇篮到坟墓的全生命周</w:t>
      </w:r>
      <w:r>
        <w:rPr>
          <w:rFonts w:ascii="宋体" w:hAnsi="宋体" w:eastAsia="宋体" w:cs="宋体"/>
          <w:spacing w:val="-34"/>
          <w:sz w:val="31"/>
          <w:szCs w:val="31"/>
        </w:rPr>
        <w:t>期</w:t>
      </w:r>
      <w:r>
        <w:rPr>
          <w:rFonts w:ascii="宋体" w:hAnsi="宋体" w:eastAsia="宋体" w:cs="宋体"/>
          <w:spacing w:val="-18"/>
          <w:sz w:val="31"/>
          <w:szCs w:val="31"/>
        </w:rPr>
        <w:t>过程，包括：(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1</w:t>
      </w:r>
      <w:r>
        <w:rPr>
          <w:rFonts w:ascii="宋体" w:hAnsi="宋体" w:eastAsia="宋体" w:cs="宋体"/>
          <w:spacing w:val="-18"/>
          <w:sz w:val="31"/>
          <w:szCs w:val="31"/>
        </w:rPr>
        <w:t>) 原材料的获取</w:t>
      </w:r>
      <w:r>
        <w:rPr>
          <w:rFonts w:hint="eastAsia" w:ascii="宋体" w:hAnsi="宋体" w:eastAsia="宋体" w:cs="宋体"/>
          <w:spacing w:val="-18"/>
          <w:sz w:val="31"/>
          <w:szCs w:val="31"/>
          <w:lang w:eastAsia="zh-CN"/>
        </w:rPr>
        <w:t>；</w:t>
      </w:r>
      <w:r>
        <w:rPr>
          <w:rFonts w:ascii="宋体" w:hAnsi="宋体" w:eastAsia="宋体" w:cs="宋体"/>
          <w:spacing w:val="-1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2</w:t>
      </w:r>
      <w:r>
        <w:rPr>
          <w:rFonts w:ascii="宋体" w:hAnsi="宋体" w:eastAsia="宋体" w:cs="宋体"/>
          <w:spacing w:val="-18"/>
          <w:sz w:val="31"/>
          <w:szCs w:val="31"/>
        </w:rPr>
        <w:t>) 能源与材料的产生；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-19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</w:t>
      </w:r>
      <w:r>
        <w:rPr>
          <w:rFonts w:ascii="宋体" w:hAnsi="宋体" w:eastAsia="宋体" w:cs="宋体"/>
          <w:spacing w:val="-14"/>
          <w:sz w:val="31"/>
          <w:szCs w:val="31"/>
        </w:rPr>
        <w:t>) 制造和使用；(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4</w:t>
      </w:r>
      <w:r>
        <w:rPr>
          <w:rFonts w:ascii="宋体" w:hAnsi="宋体" w:eastAsia="宋体" w:cs="宋体"/>
          <w:spacing w:val="-14"/>
          <w:sz w:val="31"/>
          <w:szCs w:val="31"/>
        </w:rPr>
        <w:t>) 末期的处理以及最终处置。除此之外，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碳足迹应保证科学</w:t>
      </w:r>
      <w:r>
        <w:rPr>
          <w:rFonts w:ascii="宋体" w:hAnsi="宋体" w:eastAsia="宋体" w:cs="宋体"/>
          <w:spacing w:val="-2"/>
          <w:sz w:val="31"/>
          <w:szCs w:val="31"/>
        </w:rPr>
        <w:t>方法优先，同时具备相关性、完整性、一致</w:t>
      </w:r>
      <w:r>
        <w:rPr>
          <w:rFonts w:ascii="宋体" w:hAnsi="宋体" w:eastAsia="宋体" w:cs="宋体"/>
          <w:spacing w:val="-1"/>
          <w:sz w:val="31"/>
          <w:szCs w:val="31"/>
        </w:rPr>
        <w:t>性、准确性</w:t>
      </w:r>
      <w:r>
        <w:rPr>
          <w:rFonts w:ascii="宋体" w:hAnsi="宋体" w:eastAsia="宋体" w:cs="宋体"/>
          <w:sz w:val="31"/>
          <w:szCs w:val="31"/>
        </w:rPr>
        <w:t>、透明性。</w:t>
      </w:r>
    </w:p>
    <w:p w14:paraId="67A41928">
      <w:pPr>
        <w:spacing w:before="3" w:line="370" w:lineRule="auto"/>
        <w:ind w:left="28" w:right="110" w:firstLine="6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6"/>
          <w:sz w:val="31"/>
          <w:szCs w:val="31"/>
        </w:rPr>
        <w:t>企</w:t>
      </w:r>
      <w:r>
        <w:rPr>
          <w:rFonts w:ascii="宋体" w:hAnsi="宋体" w:eastAsia="宋体" w:cs="宋体"/>
          <w:spacing w:val="-17"/>
          <w:sz w:val="31"/>
          <w:szCs w:val="31"/>
        </w:rPr>
        <w:t>业</w:t>
      </w:r>
      <w:r>
        <w:rPr>
          <w:rFonts w:ascii="宋体" w:hAnsi="宋体" w:eastAsia="宋体" w:cs="宋体"/>
          <w:spacing w:val="-13"/>
          <w:sz w:val="31"/>
          <w:szCs w:val="31"/>
        </w:rPr>
        <w:t>产品碳足迹的核算过程，在获取真实有效的数据后，还</w:t>
      </w:r>
      <w:r>
        <w:rPr>
          <w:rFonts w:ascii="宋体" w:hAnsi="宋体" w:eastAsia="宋体" w:cs="宋体"/>
          <w:spacing w:val="-4"/>
          <w:sz w:val="31"/>
          <w:szCs w:val="31"/>
        </w:rPr>
        <w:t>应选择科学的核算方法</w:t>
      </w:r>
      <w:r>
        <w:rPr>
          <w:rFonts w:ascii="宋体" w:hAnsi="宋体" w:eastAsia="宋体" w:cs="宋体"/>
          <w:spacing w:val="-2"/>
          <w:sz w:val="31"/>
          <w:szCs w:val="31"/>
        </w:rPr>
        <w:t>，目前碳足迹的核算主要有以下三种方法：</w:t>
      </w:r>
    </w:p>
    <w:p w14:paraId="69015783">
      <w:pPr>
        <w:spacing w:line="225" w:lineRule="auto"/>
        <w:ind w:left="68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(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一) 排放因子法</w:t>
      </w:r>
    </w:p>
    <w:p w14:paraId="46F304B7">
      <w:pPr>
        <w:spacing w:before="245" w:line="622" w:lineRule="exact"/>
        <w:ind w:left="6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position w:val="23"/>
          <w:sz w:val="31"/>
          <w:szCs w:val="31"/>
        </w:rPr>
        <w:t>采</w:t>
      </w:r>
      <w:r>
        <w:rPr>
          <w:rFonts w:ascii="宋体" w:hAnsi="宋体" w:eastAsia="宋体" w:cs="宋体"/>
          <w:spacing w:val="-12"/>
          <w:position w:val="23"/>
          <w:sz w:val="31"/>
          <w:szCs w:val="31"/>
        </w:rPr>
        <w:t>用排放因子法计算时，温室气体排放量为活动数据与温室</w:t>
      </w:r>
    </w:p>
    <w:p w14:paraId="4D393DA7">
      <w:pPr>
        <w:spacing w:before="1" w:line="22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气体排放因子</w:t>
      </w:r>
      <w:r>
        <w:rPr>
          <w:rFonts w:ascii="宋体" w:hAnsi="宋体" w:eastAsia="宋体" w:cs="宋体"/>
          <w:sz w:val="31"/>
          <w:szCs w:val="31"/>
        </w:rPr>
        <w:t>的乘积，见式 (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宋体" w:hAnsi="宋体" w:eastAsia="宋体" w:cs="宋体"/>
          <w:sz w:val="31"/>
          <w:szCs w:val="31"/>
        </w:rPr>
        <w:t>) ：</w:t>
      </w:r>
    </w:p>
    <w:p w14:paraId="3D3B6965">
      <w:pPr>
        <w:spacing w:before="185" w:line="429" w:lineRule="exact"/>
        <w:ind w:left="70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z w:val="20"/>
          <w:szCs w:val="20"/>
        </w:rPr>
        <w:t>GHG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=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AD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EF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GWP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 xml:space="preserve">          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1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>)</w:t>
      </w:r>
    </w:p>
    <w:p w14:paraId="253A3038">
      <w:pPr>
        <w:spacing w:before="45" w:line="225" w:lineRule="auto"/>
        <w:ind w:left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式</w:t>
      </w:r>
      <w:r>
        <w:rPr>
          <w:rFonts w:ascii="宋体" w:hAnsi="宋体" w:eastAsia="宋体" w:cs="宋体"/>
          <w:sz w:val="31"/>
          <w:szCs w:val="31"/>
        </w:rPr>
        <w:t>中：</w:t>
      </w:r>
    </w:p>
    <w:p w14:paraId="1BE69726">
      <w:pPr>
        <w:spacing w:line="121" w:lineRule="exact"/>
      </w:pPr>
    </w:p>
    <w:p w14:paraId="5B4ADA6D">
      <w:pPr>
        <w:sectPr>
          <w:headerReference r:id="rId8" w:type="default"/>
          <w:footerReference r:id="rId9" w:type="default"/>
          <w:pgSz w:w="11910" w:h="16840"/>
          <w:pgMar w:top="1440" w:right="1800" w:bottom="1440" w:left="1800" w:header="0" w:footer="0" w:gutter="0"/>
          <w:pgNumType w:fmt="decimal"/>
          <w:cols w:equalWidth="0" w:num="1">
            <w:col w:w="8450"/>
          </w:cols>
        </w:sectPr>
      </w:pPr>
    </w:p>
    <w:p w14:paraId="3DE6678E">
      <w:pPr>
        <w:spacing w:before="256" w:line="210" w:lineRule="auto"/>
        <w:ind w:left="9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GHG</w:t>
      </w:r>
    </w:p>
    <w:p w14:paraId="5EA4E10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2E3E9E">
      <w:pPr>
        <w:spacing w:before="63" w:line="188" w:lineRule="auto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33"/>
          <w:sz w:val="29"/>
          <w:szCs w:val="29"/>
        </w:rPr>
        <w:t>—</w:t>
      </w:r>
      <w:r>
        <w:rPr>
          <w:rFonts w:ascii="Times New Roman" w:hAnsi="Times New Roman" w:eastAsia="Times New Roman" w:cs="Times New Roman"/>
          <w:spacing w:val="30"/>
          <w:sz w:val="29"/>
          <w:szCs w:val="29"/>
        </w:rPr>
        <w:t>—</w:t>
      </w:r>
      <w:r>
        <w:rPr>
          <w:rFonts w:ascii="宋体" w:hAnsi="宋体" w:eastAsia="宋体" w:cs="宋体"/>
          <w:spacing w:val="30"/>
          <w:sz w:val="29"/>
          <w:szCs w:val="29"/>
        </w:rPr>
        <w:t>温室气体排放量，单位为吨二氧化碳当量</w:t>
      </w:r>
    </w:p>
    <w:p w14:paraId="3567F1C3">
      <w:pPr>
        <w:spacing w:line="405" w:lineRule="exact"/>
        <w:ind w:left="15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12"/>
          <w:position w:val="5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position w:val="5"/>
          <w:sz w:val="30"/>
          <w:szCs w:val="30"/>
        </w:rPr>
        <w:t>tCO</w:t>
      </w:r>
      <w:r>
        <w:rPr>
          <w:rFonts w:ascii="Times New Roman" w:hAnsi="Times New Roman" w:eastAsia="Times New Roman" w:cs="Times New Roman"/>
          <w:spacing w:val="12"/>
          <w:position w:val="3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position w:val="5"/>
          <w:sz w:val="30"/>
          <w:szCs w:val="30"/>
        </w:rPr>
        <w:t>e</w:t>
      </w:r>
      <w:r>
        <w:rPr>
          <w:rFonts w:ascii="Times New Roman" w:hAnsi="Times New Roman" w:eastAsia="Times New Roman" w:cs="Times New Roman"/>
          <w:spacing w:val="12"/>
          <w:position w:val="5"/>
          <w:sz w:val="30"/>
          <w:szCs w:val="30"/>
        </w:rPr>
        <w:t>)</w:t>
      </w:r>
      <w:r>
        <w:rPr>
          <w:rFonts w:ascii="宋体" w:hAnsi="宋体" w:eastAsia="宋体" w:cs="宋体"/>
          <w:spacing w:val="12"/>
          <w:position w:val="5"/>
          <w:sz w:val="30"/>
          <w:szCs w:val="30"/>
        </w:rPr>
        <w:t>；</w:t>
      </w:r>
    </w:p>
    <w:p w14:paraId="32A2357B">
      <w:pPr>
        <w:sectPr>
          <w:type w:val="continuous"/>
          <w:pgSz w:w="11910" w:h="16840"/>
          <w:pgMar w:top="1440" w:right="1800" w:bottom="1440" w:left="1800" w:header="0" w:footer="0" w:gutter="0"/>
          <w:pgNumType w:fmt="decimal"/>
          <w:cols w:equalWidth="0" w:num="2">
            <w:col w:w="1933" w:space="100"/>
            <w:col w:w="6278"/>
          </w:cols>
        </w:sectPr>
      </w:pPr>
    </w:p>
    <w:p w14:paraId="01938756">
      <w:pPr>
        <w:spacing w:line="114" w:lineRule="exact"/>
      </w:pPr>
    </w:p>
    <w:p w14:paraId="1C8D34D5">
      <w:pPr>
        <w:spacing w:before="283" w:line="193" w:lineRule="auto"/>
        <w:ind w:left="11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AD</w:t>
      </w:r>
    </w:p>
    <w:p w14:paraId="2C53ECAE">
      <w:pPr>
        <w:spacing w:line="271" w:lineRule="auto"/>
        <w:rPr>
          <w:rFonts w:ascii="Arial"/>
          <w:sz w:val="21"/>
        </w:rPr>
      </w:pPr>
    </w:p>
    <w:p w14:paraId="4D64E13D">
      <w:pPr>
        <w:spacing w:before="89" w:line="189" w:lineRule="auto"/>
        <w:ind w:left="117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F</w:t>
      </w:r>
    </w:p>
    <w:p w14:paraId="150F34BD">
      <w:pPr>
        <w:spacing w:line="260" w:lineRule="auto"/>
        <w:rPr>
          <w:rFonts w:ascii="Arial"/>
          <w:sz w:val="21"/>
        </w:rPr>
      </w:pPr>
    </w:p>
    <w:p w14:paraId="74405AF1">
      <w:pPr>
        <w:spacing w:line="260" w:lineRule="auto"/>
        <w:rPr>
          <w:rFonts w:ascii="Arial"/>
          <w:sz w:val="21"/>
        </w:rPr>
      </w:pPr>
    </w:p>
    <w:p w14:paraId="4EBDF9A7">
      <w:pPr>
        <w:spacing w:before="89" w:line="193" w:lineRule="auto"/>
        <w:ind w:left="101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WP</w:t>
      </w:r>
    </w:p>
    <w:p w14:paraId="4D052A2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D7594B9">
      <w:pPr>
        <w:spacing w:before="61" w:line="194" w:lineRule="auto"/>
        <w:ind w:left="53" w:right="21" w:hanging="2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——</w:t>
      </w:r>
      <w:r>
        <w:rPr>
          <w:rFonts w:ascii="宋体" w:hAnsi="宋体" w:eastAsia="宋体" w:cs="宋体"/>
          <w:spacing w:val="4"/>
          <w:sz w:val="31"/>
          <w:szCs w:val="31"/>
        </w:rPr>
        <w:t>温室气体活</w:t>
      </w:r>
      <w:r>
        <w:rPr>
          <w:rFonts w:ascii="宋体" w:hAnsi="宋体" w:eastAsia="宋体" w:cs="宋体"/>
          <w:spacing w:val="2"/>
          <w:sz w:val="31"/>
          <w:szCs w:val="31"/>
        </w:rPr>
        <w:t>动数据，单位根据具体排放源确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定</w:t>
      </w:r>
      <w:r>
        <w:rPr>
          <w:rFonts w:ascii="宋体" w:hAnsi="宋体" w:eastAsia="宋体" w:cs="宋体"/>
          <w:spacing w:val="-5"/>
          <w:sz w:val="31"/>
          <w:szCs w:val="31"/>
        </w:rPr>
        <w:t>；</w:t>
      </w:r>
    </w:p>
    <w:p w14:paraId="214ADC9A">
      <w:pPr>
        <w:spacing w:line="214" w:lineRule="auto"/>
        <w:ind w:left="13" w:right="21" w:hanging="14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—</w:t>
      </w:r>
      <w:r>
        <w:rPr>
          <w:rFonts w:ascii="宋体" w:hAnsi="宋体" w:eastAsia="宋体" w:cs="宋体"/>
          <w:spacing w:val="4"/>
          <w:sz w:val="31"/>
          <w:szCs w:val="31"/>
        </w:rPr>
        <w:t>温室气体排放因子，单位与活动数据的单位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相</w:t>
      </w:r>
      <w:r>
        <w:rPr>
          <w:rFonts w:ascii="宋体" w:hAnsi="宋体" w:eastAsia="宋体" w:cs="宋体"/>
          <w:spacing w:val="4"/>
          <w:sz w:val="31"/>
          <w:szCs w:val="31"/>
        </w:rPr>
        <w:t>匹配；</w:t>
      </w:r>
    </w:p>
    <w:p w14:paraId="36498595">
      <w:pPr>
        <w:spacing w:before="121" w:line="219" w:lineRule="auto"/>
        <w:ind w:left="16" w:right="18" w:hanging="1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—</w:t>
      </w:r>
      <w:r>
        <w:rPr>
          <w:rFonts w:ascii="宋体" w:hAnsi="宋体" w:eastAsia="宋体" w:cs="宋体"/>
          <w:spacing w:val="4"/>
          <w:sz w:val="31"/>
          <w:szCs w:val="31"/>
        </w:rPr>
        <w:t>全球变暖潜势，数值可参考政府间气候变化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专</w:t>
      </w:r>
      <w:r>
        <w:rPr>
          <w:rFonts w:ascii="宋体" w:hAnsi="宋体" w:eastAsia="宋体" w:cs="宋体"/>
          <w:spacing w:val="9"/>
          <w:sz w:val="31"/>
          <w:szCs w:val="31"/>
        </w:rPr>
        <w:t>门</w:t>
      </w:r>
      <w:r>
        <w:rPr>
          <w:rFonts w:ascii="宋体" w:hAnsi="宋体" w:eastAsia="宋体" w:cs="宋体"/>
          <w:spacing w:val="8"/>
          <w:sz w:val="31"/>
          <w:szCs w:val="31"/>
        </w:rPr>
        <w:t>委员会 (</w:t>
      </w:r>
      <w:r>
        <w:rPr>
          <w:rFonts w:ascii="Times New Roman" w:hAnsi="Times New Roman" w:eastAsia="Times New Roman" w:cs="Times New Roman"/>
          <w:sz w:val="31"/>
          <w:szCs w:val="31"/>
        </w:rPr>
        <w:t>IPCC</w:t>
      </w:r>
      <w:r>
        <w:rPr>
          <w:rFonts w:ascii="宋体" w:hAnsi="宋体" w:eastAsia="宋体" w:cs="宋体"/>
          <w:spacing w:val="8"/>
          <w:sz w:val="31"/>
          <w:szCs w:val="31"/>
        </w:rPr>
        <w:t>) 提供的数据。</w:t>
      </w:r>
    </w:p>
    <w:p w14:paraId="0BE021DE">
      <w:pPr>
        <w:sectPr>
          <w:type w:val="continuous"/>
          <w:pgSz w:w="11910" w:h="16840"/>
          <w:pgMar w:top="400" w:right="1489" w:bottom="400" w:left="1786" w:header="0" w:footer="0" w:gutter="0"/>
          <w:pgNumType w:fmt="decimal"/>
          <w:cols w:equalWidth="0" w:num="2">
            <w:col w:w="1915" w:space="100"/>
            <w:col w:w="6619"/>
          </w:cols>
        </w:sectPr>
      </w:pPr>
    </w:p>
    <w:p w14:paraId="216339E4">
      <w:pPr>
        <w:spacing w:before="97" w:line="225" w:lineRule="auto"/>
        <w:ind w:left="68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(二) 物料平衡法</w:t>
      </w:r>
    </w:p>
    <w:p w14:paraId="07DDBCC8">
      <w:pPr>
        <w:spacing w:before="242" w:line="371" w:lineRule="auto"/>
        <w:ind w:left="54" w:right="290" w:firstLine="5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使</w:t>
      </w:r>
      <w:r>
        <w:rPr>
          <w:rFonts w:ascii="宋体" w:hAnsi="宋体" w:eastAsia="宋体" w:cs="宋体"/>
          <w:spacing w:val="-13"/>
          <w:sz w:val="31"/>
          <w:szCs w:val="31"/>
        </w:rPr>
        <w:t>用物料平衡法计算时，根据质量守恒定律，用输入物料中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的含碳</w:t>
      </w:r>
      <w:r>
        <w:rPr>
          <w:rFonts w:ascii="宋体" w:hAnsi="宋体" w:eastAsia="宋体" w:cs="宋体"/>
          <w:spacing w:val="-4"/>
          <w:sz w:val="31"/>
          <w:szCs w:val="31"/>
        </w:rPr>
        <w:t>量</w:t>
      </w:r>
      <w:r>
        <w:rPr>
          <w:rFonts w:ascii="宋体" w:hAnsi="宋体" w:eastAsia="宋体" w:cs="宋体"/>
          <w:spacing w:val="-3"/>
          <w:sz w:val="31"/>
          <w:szCs w:val="31"/>
        </w:rPr>
        <w:t>减去输出物料中的含碳量进行平衡计算得到二氧化碳</w:t>
      </w:r>
    </w:p>
    <w:p w14:paraId="3525ADB1">
      <w:pPr>
        <w:spacing w:line="226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排放量，见式 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宋体" w:hAnsi="宋体" w:eastAsia="宋体" w:cs="宋体"/>
          <w:spacing w:val="-4"/>
          <w:sz w:val="31"/>
          <w:szCs w:val="31"/>
        </w:rPr>
        <w:t>) ：</w:t>
      </w:r>
    </w:p>
    <w:p w14:paraId="1BB00819">
      <w:pPr>
        <w:spacing w:before="185" w:line="429" w:lineRule="exact"/>
        <w:ind w:left="2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 xml:space="preserve">GHG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= [∑  </w:t>
      </w:r>
      <w:r>
        <w:rPr>
          <w:rFonts w:ascii="宋体" w:hAnsi="宋体" w:eastAsia="宋体" w:cs="宋体"/>
          <w:spacing w:val="-2"/>
          <w:position w:val="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 xml:space="preserve">I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×CC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 xml:space="preserve">I </w:t>
      </w:r>
      <w:r>
        <w:rPr>
          <w:rFonts w:ascii="宋体" w:hAnsi="宋体" w:eastAsia="宋体" w:cs="宋体"/>
          <w:spacing w:val="-2"/>
          <w:position w:val="4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-∑  </w:t>
      </w:r>
      <w:r>
        <w:rPr>
          <w:rFonts w:ascii="宋体" w:hAnsi="宋体" w:eastAsia="宋体" w:cs="宋体"/>
          <w:spacing w:val="-2"/>
          <w:position w:val="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 xml:space="preserve">0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×CC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 xml:space="preserve">0 </w:t>
      </w:r>
      <w:r>
        <w:rPr>
          <w:rFonts w:ascii="宋体" w:hAnsi="宋体" w:eastAsia="宋体" w:cs="宋体"/>
          <w:spacing w:val="-2"/>
          <w:position w:val="4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] ×ω ×GW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 …  </w:t>
      </w:r>
      <w:r>
        <w:rPr>
          <w:rFonts w:ascii="宋体" w:hAnsi="宋体" w:eastAsia="宋体" w:cs="宋体"/>
          <w:spacing w:val="-2"/>
          <w:position w:val="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2</w:t>
      </w:r>
      <w:r>
        <w:rPr>
          <w:rFonts w:ascii="宋体" w:hAnsi="宋体" w:eastAsia="宋体" w:cs="宋体"/>
          <w:spacing w:val="-2"/>
          <w:position w:val="4"/>
          <w:sz w:val="31"/>
          <w:szCs w:val="31"/>
        </w:rPr>
        <w:t>)</w:t>
      </w:r>
    </w:p>
    <w:p w14:paraId="1EEA4FC6"/>
    <w:p w14:paraId="05160D32">
      <w:pPr>
        <w:spacing w:line="68" w:lineRule="exact"/>
      </w:pPr>
    </w:p>
    <w:tbl>
      <w:tblPr>
        <w:tblStyle w:val="17"/>
        <w:tblW w:w="7919" w:type="dxa"/>
        <w:tblInd w:w="713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6918"/>
      </w:tblGrid>
      <w:tr w14:paraId="6A9FC85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01" w:type="dxa"/>
            <w:vAlign w:val="top"/>
          </w:tcPr>
          <w:p w14:paraId="5383BB14">
            <w:pPr>
              <w:spacing w:line="189" w:lineRule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式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中：</w:t>
            </w:r>
          </w:p>
        </w:tc>
        <w:tc>
          <w:tcPr>
            <w:tcW w:w="6918" w:type="dxa"/>
            <w:vAlign w:val="top"/>
          </w:tcPr>
          <w:p w14:paraId="0406233A">
            <w:pPr>
              <w:rPr>
                <w:rFonts w:ascii="Arial"/>
                <w:sz w:val="21"/>
              </w:rPr>
            </w:pPr>
          </w:p>
        </w:tc>
      </w:tr>
      <w:tr w14:paraId="2B67450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1" w:type="dxa"/>
            <w:vAlign w:val="top"/>
          </w:tcPr>
          <w:p w14:paraId="14908F49">
            <w:pPr>
              <w:spacing w:before="73" w:line="210" w:lineRule="auto"/>
              <w:ind w:left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31"/>
                <w:szCs w:val="31"/>
              </w:rPr>
              <w:t>EGHG</w:t>
            </w:r>
          </w:p>
        </w:tc>
        <w:tc>
          <w:tcPr>
            <w:tcW w:w="6918" w:type="dxa"/>
            <w:vAlign w:val="top"/>
          </w:tcPr>
          <w:p w14:paraId="7A1A7808">
            <w:pPr>
              <w:spacing w:line="418" w:lineRule="exact"/>
              <w:ind w:left="1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position w:val="1"/>
                <w:sz w:val="31"/>
                <w:szCs w:val="3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9"/>
                <w:position w:val="1"/>
                <w:sz w:val="31"/>
                <w:szCs w:val="31"/>
              </w:rPr>
              <w:t>—</w:t>
            </w:r>
            <w:r>
              <w:rPr>
                <w:rFonts w:ascii="宋体" w:hAnsi="宋体" w:eastAsia="宋体" w:cs="宋体"/>
                <w:spacing w:val="-29"/>
                <w:position w:val="1"/>
                <w:sz w:val="31"/>
                <w:szCs w:val="31"/>
              </w:rPr>
              <w:t>温室气体排放量，单位为吨二氧化碳当量(</w:t>
            </w:r>
            <w:r>
              <w:rPr>
                <w:rFonts w:ascii="Times New Roman" w:hAnsi="Times New Roman" w:eastAsia="Times New Roman" w:cs="Times New Roman"/>
                <w:spacing w:val="-29"/>
                <w:position w:val="1"/>
                <w:sz w:val="31"/>
                <w:szCs w:val="31"/>
              </w:rPr>
              <w:t>tCO</w:t>
            </w:r>
            <w:r>
              <w:rPr>
                <w:rFonts w:ascii="Times New Roman" w:hAnsi="Times New Roman" w:eastAsia="Times New Roman" w:cs="Times New Roman"/>
                <w:spacing w:val="-29"/>
                <w:position w:val="-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  <w:position w:val="1"/>
                <w:sz w:val="31"/>
                <w:szCs w:val="31"/>
              </w:rPr>
              <w:t xml:space="preserve">e </w:t>
            </w:r>
            <w:r>
              <w:rPr>
                <w:rFonts w:ascii="宋体" w:hAnsi="宋体" w:eastAsia="宋体" w:cs="宋体"/>
                <w:spacing w:val="-29"/>
                <w:position w:val="1"/>
                <w:sz w:val="31"/>
                <w:szCs w:val="31"/>
              </w:rPr>
              <w:t>)；</w:t>
            </w:r>
          </w:p>
        </w:tc>
      </w:tr>
      <w:tr w14:paraId="4CEB7D1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1" w:type="dxa"/>
            <w:vAlign w:val="top"/>
          </w:tcPr>
          <w:p w14:paraId="070DA789">
            <w:pPr>
              <w:spacing w:before="68" w:line="199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  <w:sz w:val="20"/>
                <w:szCs w:val="20"/>
              </w:rPr>
              <w:t>I</w:t>
            </w:r>
          </w:p>
        </w:tc>
        <w:tc>
          <w:tcPr>
            <w:tcW w:w="6918" w:type="dxa"/>
            <w:vAlign w:val="top"/>
          </w:tcPr>
          <w:p w14:paraId="55883B1C">
            <w:pPr>
              <w:spacing w:before="70" w:line="225" w:lineRule="auto"/>
              <w:ind w:left="1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31"/>
                <w:szCs w:val="3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3"/>
                <w:sz w:val="31"/>
                <w:szCs w:val="31"/>
              </w:rPr>
              <w:t>—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输入物料的量，单位根据具体排放源确定；</w:t>
            </w:r>
          </w:p>
        </w:tc>
      </w:tr>
      <w:tr w14:paraId="3AF6067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01" w:type="dxa"/>
            <w:vAlign w:val="top"/>
          </w:tcPr>
          <w:p w14:paraId="14BEDE23">
            <w:pPr>
              <w:spacing w:before="108" w:line="199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20"/>
                <w:szCs w:val="20"/>
              </w:rPr>
              <w:t>0</w:t>
            </w:r>
          </w:p>
        </w:tc>
        <w:tc>
          <w:tcPr>
            <w:tcW w:w="6918" w:type="dxa"/>
            <w:vAlign w:val="top"/>
          </w:tcPr>
          <w:p w14:paraId="7776AF02">
            <w:pPr>
              <w:spacing w:before="108" w:line="225" w:lineRule="auto"/>
              <w:ind w:left="1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31"/>
                <w:szCs w:val="3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3"/>
                <w:sz w:val="31"/>
                <w:szCs w:val="31"/>
              </w:rPr>
              <w:t>—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输出物料的量，单位根据具体排放源确定；</w:t>
            </w:r>
          </w:p>
        </w:tc>
      </w:tr>
      <w:tr w14:paraId="1B6BA86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01" w:type="dxa"/>
            <w:vAlign w:val="top"/>
          </w:tcPr>
          <w:p w14:paraId="424AB003">
            <w:pPr>
              <w:spacing w:before="311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31"/>
                <w:szCs w:val="3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position w:val="-2"/>
                <w:sz w:val="20"/>
                <w:szCs w:val="20"/>
              </w:rPr>
              <w:t>I</w:t>
            </w:r>
          </w:p>
        </w:tc>
        <w:tc>
          <w:tcPr>
            <w:tcW w:w="6918" w:type="dxa"/>
            <w:vAlign w:val="top"/>
          </w:tcPr>
          <w:p w14:paraId="64700035">
            <w:pPr>
              <w:spacing w:before="110" w:line="253" w:lineRule="auto"/>
              <w:ind w:left="127" w:right="85" w:hanging="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0"/>
                <w:sz w:val="31"/>
                <w:szCs w:val="31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输入物料的含碳量，单位与输入物料的量的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位相匹配；</w:t>
            </w:r>
          </w:p>
        </w:tc>
      </w:tr>
      <w:tr w14:paraId="543735D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01" w:type="dxa"/>
            <w:vAlign w:val="top"/>
          </w:tcPr>
          <w:p w14:paraId="4F592CBB">
            <w:pPr>
              <w:spacing w:before="310" w:line="202" w:lineRule="auto"/>
              <w:ind w:left="1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CC</w:t>
            </w: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20"/>
                <w:szCs w:val="20"/>
              </w:rPr>
              <w:t>0</w:t>
            </w:r>
          </w:p>
        </w:tc>
        <w:tc>
          <w:tcPr>
            <w:tcW w:w="6918" w:type="dxa"/>
            <w:vAlign w:val="top"/>
          </w:tcPr>
          <w:p w14:paraId="60C14E36">
            <w:pPr>
              <w:spacing w:before="114" w:line="254" w:lineRule="auto"/>
              <w:ind w:left="127" w:right="85" w:hanging="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0"/>
                <w:sz w:val="31"/>
                <w:szCs w:val="31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输出物料的含碳量，单位与输出物料的量的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位相匹配；</w:t>
            </w:r>
          </w:p>
        </w:tc>
      </w:tr>
      <w:tr w14:paraId="534A063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01" w:type="dxa"/>
            <w:vAlign w:val="top"/>
          </w:tcPr>
          <w:p w14:paraId="67F072F5">
            <w:pPr>
              <w:spacing w:before="173" w:line="216" w:lineRule="exact"/>
              <w:ind w:left="35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ω</w:t>
            </w:r>
          </w:p>
        </w:tc>
        <w:tc>
          <w:tcPr>
            <w:tcW w:w="6918" w:type="dxa"/>
            <w:vAlign w:val="top"/>
          </w:tcPr>
          <w:p w14:paraId="05C9248D">
            <w:pPr>
              <w:spacing w:before="118" w:line="189" w:lineRule="auto"/>
              <w:ind w:left="1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31"/>
                <w:szCs w:val="3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1"/>
                <w:sz w:val="31"/>
                <w:szCs w:val="31"/>
              </w:rPr>
              <w:t>—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碳质量转化为温室气体质量的转换系数；</w:t>
            </w:r>
          </w:p>
        </w:tc>
      </w:tr>
    </w:tbl>
    <w:p w14:paraId="612E4819">
      <w:pPr>
        <w:spacing w:line="160" w:lineRule="exact"/>
        <w:rPr>
          <w:rFonts w:ascii="Arial"/>
          <w:sz w:val="13"/>
        </w:rPr>
      </w:pPr>
    </w:p>
    <w:p w14:paraId="39288AA6">
      <w:pPr>
        <w:sectPr>
          <w:type w:val="continuous"/>
          <w:pgSz w:w="11910" w:h="16840"/>
          <w:pgMar w:top="400" w:right="1489" w:bottom="400" w:left="1786" w:header="0" w:footer="0" w:gutter="0"/>
          <w:pgNumType w:fmt="decimal"/>
          <w:cols w:equalWidth="0" w:num="1">
            <w:col w:w="8634"/>
          </w:cols>
        </w:sectPr>
      </w:pPr>
    </w:p>
    <w:p w14:paraId="487A5BF4">
      <w:pPr>
        <w:spacing w:before="260" w:line="632" w:lineRule="exact"/>
        <w:ind w:left="808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position w:val="30"/>
          <w:sz w:val="29"/>
          <w:szCs w:val="29"/>
        </w:rPr>
        <w:t>GWP</w:t>
      </w:r>
    </w:p>
    <w:p w14:paraId="16C5E689">
      <w:pPr>
        <w:tabs>
          <w:tab w:val="left" w:pos="826"/>
        </w:tabs>
        <w:spacing w:before="1" w:line="202" w:lineRule="auto"/>
        <w:ind w:left="68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ab/>
      </w:r>
      <w:r>
        <w:rPr>
          <w:rFonts w:ascii="宋体" w:hAnsi="宋体" w:eastAsia="宋体" w:cs="宋体"/>
          <w:spacing w:val="-7"/>
          <w:sz w:val="29"/>
          <w:szCs w:val="29"/>
        </w:rPr>
        <w:t>(</w:t>
      </w:r>
      <w:r>
        <w:rPr>
          <w:rFonts w:ascii="宋体" w:hAnsi="宋体" w:eastAsia="宋体" w:cs="宋体"/>
          <w:spacing w:val="-5"/>
          <w:sz w:val="29"/>
          <w:szCs w:val="29"/>
        </w:rPr>
        <w:t>三)</w:t>
      </w:r>
    </w:p>
    <w:p w14:paraId="43E4EBF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215EC06">
      <w:pPr>
        <w:spacing w:before="61" w:line="247" w:lineRule="auto"/>
        <w:ind w:left="204" w:right="86" w:hanging="1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</w:t>
      </w:r>
      <w:r>
        <w:rPr>
          <w:rFonts w:ascii="宋体" w:hAnsi="宋体" w:eastAsia="宋体" w:cs="宋体"/>
          <w:spacing w:val="10"/>
          <w:sz w:val="31"/>
          <w:szCs w:val="31"/>
        </w:rPr>
        <w:t>全球变暖潜势，数值可参考政府间气候变化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专</w:t>
      </w:r>
      <w:r>
        <w:rPr>
          <w:rFonts w:ascii="宋体" w:hAnsi="宋体" w:eastAsia="宋体" w:cs="宋体"/>
          <w:spacing w:val="8"/>
          <w:sz w:val="31"/>
          <w:szCs w:val="31"/>
        </w:rPr>
        <w:t>门委员会 (</w:t>
      </w:r>
      <w:r>
        <w:rPr>
          <w:rFonts w:ascii="Times New Roman" w:hAnsi="Times New Roman" w:eastAsia="Times New Roman" w:cs="Times New Roman"/>
          <w:sz w:val="31"/>
          <w:szCs w:val="31"/>
        </w:rPr>
        <w:t>IPCC</w:t>
      </w:r>
      <w:r>
        <w:rPr>
          <w:rFonts w:ascii="宋体" w:hAnsi="宋体" w:eastAsia="宋体" w:cs="宋体"/>
          <w:spacing w:val="8"/>
          <w:sz w:val="31"/>
          <w:szCs w:val="31"/>
        </w:rPr>
        <w:t>) 提供的数据。</w:t>
      </w:r>
    </w:p>
    <w:p w14:paraId="63C94187">
      <w:pPr>
        <w:spacing w:before="1" w:line="18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实测法</w:t>
      </w:r>
    </w:p>
    <w:p w14:paraId="23973E0B">
      <w:pPr>
        <w:sectPr>
          <w:type w:val="continuous"/>
          <w:pgSz w:w="11910" w:h="16840"/>
          <w:pgMar w:top="400" w:right="1489" w:bottom="400" w:left="1786" w:header="0" w:footer="0" w:gutter="0"/>
          <w:pgNumType w:fmt="decimal"/>
          <w:cols w:equalWidth="0" w:num="2">
            <w:col w:w="1537" w:space="100"/>
            <w:col w:w="6997"/>
          </w:cols>
        </w:sectPr>
      </w:pPr>
    </w:p>
    <w:p w14:paraId="0244F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9"/>
          <w:sz w:val="31"/>
          <w:szCs w:val="31"/>
        </w:rPr>
        <w:t>通</w:t>
      </w:r>
      <w:r>
        <w:rPr>
          <w:rFonts w:ascii="宋体" w:hAnsi="宋体" w:eastAsia="宋体" w:cs="宋体"/>
          <w:spacing w:val="-36"/>
          <w:sz w:val="31"/>
          <w:szCs w:val="31"/>
        </w:rPr>
        <w:t>过安装监测仪器、设备，如：烟气排放连续监测系统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>CEM</w:t>
      </w:r>
      <w:r>
        <w:rPr>
          <w:rFonts w:hint="eastAsia" w:ascii="Times New Roman" w:hAnsi="Times New Roman" w:eastAsia="宋体" w:cs="Times New Roman"/>
          <w:spacing w:val="-36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>S</w:t>
      </w:r>
      <w:r>
        <w:rPr>
          <w:rFonts w:hint="eastAsia" w:ascii="宋体" w:hAnsi="宋体" w:eastAsia="宋体" w:cs="宋体"/>
          <w:spacing w:val="-36"/>
          <w:sz w:val="31"/>
          <w:szCs w:val="31"/>
          <w:lang w:eastAsia="zh-CN"/>
        </w:rPr>
        <w:t>，</w:t>
      </w:r>
      <w:r>
        <w:rPr>
          <w:rFonts w:ascii="宋体" w:hAnsi="宋体" w:eastAsia="宋体" w:cs="宋体"/>
          <w:spacing w:val="26"/>
          <w:sz w:val="31"/>
          <w:szCs w:val="31"/>
        </w:rPr>
        <w:t>并</w:t>
      </w:r>
      <w:r>
        <w:rPr>
          <w:rFonts w:ascii="宋体" w:hAnsi="宋体" w:eastAsia="宋体" w:cs="宋体"/>
          <w:spacing w:val="21"/>
          <w:sz w:val="31"/>
          <w:szCs w:val="31"/>
        </w:rPr>
        <w:t>采用相关技术文件中要求的方法测量温室气体源排放到</w:t>
      </w:r>
      <w:r>
        <w:rPr>
          <w:rFonts w:ascii="宋体" w:hAnsi="宋体" w:eastAsia="宋体" w:cs="宋体"/>
          <w:spacing w:val="9"/>
          <w:sz w:val="31"/>
          <w:szCs w:val="31"/>
        </w:rPr>
        <w:t>大气中的温室气体排放量</w:t>
      </w:r>
      <w:r>
        <w:rPr>
          <w:rFonts w:ascii="宋体" w:hAnsi="宋体" w:eastAsia="宋体" w:cs="宋体"/>
          <w:spacing w:val="7"/>
          <w:sz w:val="31"/>
          <w:szCs w:val="31"/>
        </w:rPr>
        <w:t>。</w:t>
      </w:r>
    </w:p>
    <w:p w14:paraId="169F2D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29" w:firstLine="620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碳足迹核算过程中采用的排放因子应考虑如下因素：(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宋体" w:hAnsi="宋体" w:eastAsia="宋体" w:cs="宋体"/>
          <w:sz w:val="31"/>
          <w:szCs w:val="31"/>
        </w:rPr>
        <w:t>)</w:t>
      </w:r>
      <w:r>
        <w:rPr>
          <w:rFonts w:ascii="宋体" w:hAnsi="宋体" w:eastAsia="宋体" w:cs="宋体"/>
          <w:spacing w:val="-38"/>
          <w:sz w:val="31"/>
          <w:szCs w:val="31"/>
        </w:rPr>
        <w:t>来</w:t>
      </w:r>
      <w:r>
        <w:rPr>
          <w:rFonts w:ascii="宋体" w:hAnsi="宋体" w:eastAsia="宋体" w:cs="宋体"/>
          <w:spacing w:val="-23"/>
          <w:sz w:val="31"/>
          <w:szCs w:val="31"/>
        </w:rPr>
        <w:t>源</w:t>
      </w:r>
      <w:r>
        <w:rPr>
          <w:rFonts w:ascii="宋体" w:hAnsi="宋体" w:eastAsia="宋体" w:cs="宋体"/>
          <w:spacing w:val="-19"/>
          <w:sz w:val="31"/>
          <w:szCs w:val="31"/>
        </w:rPr>
        <w:t>明确，有公信力；  (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  <w:r>
        <w:rPr>
          <w:rFonts w:ascii="宋体" w:hAnsi="宋体" w:eastAsia="宋体" w:cs="宋体"/>
          <w:spacing w:val="-19"/>
          <w:sz w:val="31"/>
          <w:szCs w:val="31"/>
        </w:rPr>
        <w:t>) 适用性；  (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3</w:t>
      </w:r>
      <w:r>
        <w:rPr>
          <w:rFonts w:ascii="宋体" w:hAnsi="宋体" w:eastAsia="宋体" w:cs="宋体"/>
          <w:spacing w:val="-19"/>
          <w:sz w:val="31"/>
          <w:szCs w:val="31"/>
        </w:rPr>
        <w:t>) 时效性。排放因子获</w:t>
      </w:r>
      <w:r>
        <w:rPr>
          <w:rFonts w:ascii="宋体" w:hAnsi="宋体" w:eastAsia="宋体" w:cs="宋体"/>
          <w:spacing w:val="1"/>
          <w:sz w:val="31"/>
          <w:szCs w:val="31"/>
        </w:rPr>
        <w:t>取</w:t>
      </w:r>
      <w:r>
        <w:rPr>
          <w:rFonts w:ascii="宋体" w:hAnsi="宋体" w:eastAsia="宋体" w:cs="宋体"/>
          <w:sz w:val="31"/>
          <w:szCs w:val="31"/>
        </w:rPr>
        <w:t>优先级如下表所示：</w:t>
      </w:r>
    </w:p>
    <w:p w14:paraId="2E2BD5C5">
      <w:pPr>
        <w:spacing w:line="197" w:lineRule="exact"/>
      </w:pPr>
    </w:p>
    <w:p w14:paraId="3753F632">
      <w:pPr>
        <w:rPr>
          <w:rFonts w:ascii="Arial"/>
          <w:sz w:val="21"/>
        </w:rPr>
      </w:pPr>
    </w:p>
    <w:tbl>
      <w:tblPr>
        <w:tblStyle w:val="17"/>
        <w:tblW w:w="501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4788"/>
        <w:gridCol w:w="1239"/>
      </w:tblGrid>
      <w:tr w14:paraId="6D498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6" w:type="pct"/>
            <w:vAlign w:val="center"/>
          </w:tcPr>
          <w:p w14:paraId="434512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数据类型</w:t>
            </w:r>
          </w:p>
        </w:tc>
        <w:tc>
          <w:tcPr>
            <w:tcW w:w="2870" w:type="pct"/>
            <w:vAlign w:val="center"/>
          </w:tcPr>
          <w:p w14:paraId="7C9BDC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描述</w:t>
            </w:r>
          </w:p>
        </w:tc>
        <w:tc>
          <w:tcPr>
            <w:tcW w:w="743" w:type="pct"/>
            <w:vAlign w:val="center"/>
          </w:tcPr>
          <w:p w14:paraId="2A7BEB8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优先级</w:t>
            </w:r>
          </w:p>
        </w:tc>
      </w:tr>
      <w:tr w14:paraId="02F36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6" w:type="pct"/>
            <w:vAlign w:val="center"/>
          </w:tcPr>
          <w:p w14:paraId="006B2B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排放因子实测值</w:t>
            </w:r>
          </w:p>
          <w:p w14:paraId="3489F0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或计算值</w:t>
            </w:r>
          </w:p>
        </w:tc>
        <w:tc>
          <w:tcPr>
            <w:tcW w:w="2870" w:type="pct"/>
            <w:vAlign w:val="center"/>
          </w:tcPr>
          <w:p w14:paraId="54DBBC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通过工业企业内的直接测量、能量平衡或物料平衡等方法得到的排放因子或相关参数值</w:t>
            </w:r>
          </w:p>
        </w:tc>
        <w:tc>
          <w:tcPr>
            <w:tcW w:w="743" w:type="pct"/>
            <w:vAlign w:val="center"/>
          </w:tcPr>
          <w:p w14:paraId="190BB3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</w:t>
            </w:r>
          </w:p>
        </w:tc>
      </w:tr>
      <w:tr w14:paraId="5843B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6" w:type="pct"/>
            <w:vAlign w:val="center"/>
          </w:tcPr>
          <w:p w14:paraId="0F063A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排放因子参考值</w:t>
            </w:r>
          </w:p>
        </w:tc>
        <w:tc>
          <w:tcPr>
            <w:tcW w:w="2870" w:type="pct"/>
            <w:vAlign w:val="center"/>
          </w:tcPr>
          <w:p w14:paraId="1DCFBE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采用相关指南或文件中提供的排放因子</w:t>
            </w:r>
          </w:p>
        </w:tc>
        <w:tc>
          <w:tcPr>
            <w:tcW w:w="743" w:type="pct"/>
            <w:vAlign w:val="center"/>
          </w:tcPr>
          <w:p w14:paraId="35C8F6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低</w:t>
            </w:r>
          </w:p>
        </w:tc>
      </w:tr>
    </w:tbl>
    <w:p w14:paraId="4BB71C2B">
      <w:pPr>
        <w:sectPr>
          <w:pgSz w:w="11910" w:h="16840"/>
          <w:pgMar w:top="1440" w:right="1800" w:bottom="1440" w:left="1800" w:header="850" w:footer="850" w:gutter="0"/>
          <w:pgNumType w:fmt="decimal"/>
          <w:cols w:space="720" w:num="1"/>
        </w:sectPr>
      </w:pPr>
    </w:p>
    <w:p w14:paraId="6803FDEB">
      <w:pPr>
        <w:spacing w:before="114" w:line="224" w:lineRule="auto"/>
        <w:ind w:left="134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5"/>
          <w:sz w:val="35"/>
          <w:szCs w:val="35"/>
        </w:rPr>
        <w:t>第</w:t>
      </w:r>
      <w:r>
        <w:rPr>
          <w:rFonts w:ascii="宋体" w:hAnsi="宋体" w:eastAsia="宋体" w:cs="宋体"/>
          <w:spacing w:val="8"/>
          <w:sz w:val="35"/>
          <w:szCs w:val="35"/>
        </w:rPr>
        <w:t>三章  活动水平数据及来源说明</w:t>
      </w:r>
    </w:p>
    <w:p w14:paraId="46193B1A">
      <w:pPr>
        <w:spacing w:line="242" w:lineRule="auto"/>
        <w:rPr>
          <w:rFonts w:ascii="Arial"/>
          <w:sz w:val="21"/>
        </w:rPr>
      </w:pPr>
    </w:p>
    <w:p w14:paraId="55450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31B876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-4"/>
          <w:sz w:val="31"/>
          <w:szCs w:val="31"/>
        </w:rPr>
        <w:t>苏古德塑主要从事不粘锅（涂装）产品的研发、生产及销售。主导产品即为不粘锅（涂装），</w:t>
      </w:r>
      <w:r>
        <w:rPr>
          <w:rFonts w:ascii="宋体" w:hAnsi="宋体" w:eastAsia="宋体" w:cs="宋体"/>
          <w:spacing w:val="-2"/>
          <w:sz w:val="31"/>
          <w:szCs w:val="31"/>
        </w:rPr>
        <w:t>与主要</w:t>
      </w:r>
      <w:r>
        <w:rPr>
          <w:rFonts w:ascii="宋体" w:hAnsi="宋体" w:eastAsia="宋体" w:cs="宋体"/>
          <w:spacing w:val="-6"/>
          <w:sz w:val="31"/>
          <w:szCs w:val="31"/>
        </w:rPr>
        <w:t>产</w:t>
      </w:r>
      <w:r>
        <w:rPr>
          <w:rFonts w:ascii="宋体" w:hAnsi="宋体" w:eastAsia="宋体" w:cs="宋体"/>
          <w:spacing w:val="-4"/>
          <w:sz w:val="31"/>
          <w:szCs w:val="31"/>
        </w:rPr>
        <w:t>品</w:t>
      </w:r>
      <w:r>
        <w:rPr>
          <w:rFonts w:ascii="宋体" w:hAnsi="宋体" w:eastAsia="宋体" w:cs="宋体"/>
          <w:spacing w:val="-3"/>
          <w:sz w:val="31"/>
          <w:szCs w:val="31"/>
        </w:rPr>
        <w:t>生产相关</w:t>
      </w:r>
      <w:r>
        <w:rPr>
          <w:rFonts w:ascii="宋体" w:hAnsi="宋体" w:eastAsia="宋体" w:cs="宋体"/>
          <w:spacing w:val="31"/>
          <w:sz w:val="31"/>
          <w:szCs w:val="31"/>
        </w:rPr>
        <w:t>的</w:t>
      </w:r>
      <w:r>
        <w:rPr>
          <w:rFonts w:ascii="宋体" w:hAnsi="宋体" w:eastAsia="宋体" w:cs="宋体"/>
          <w:spacing w:val="21"/>
          <w:sz w:val="31"/>
          <w:szCs w:val="31"/>
        </w:rPr>
        <w:t>主要原辅材料消耗及生产过程中能源消耗的活动水平数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据</w:t>
      </w:r>
      <w:r>
        <w:rPr>
          <w:rFonts w:ascii="宋体" w:hAnsi="宋体" w:eastAsia="宋体" w:cs="宋体"/>
          <w:spacing w:val="7"/>
          <w:sz w:val="31"/>
          <w:szCs w:val="31"/>
        </w:rPr>
        <w:t>如下：</w:t>
      </w:r>
    </w:p>
    <w:p w14:paraId="78591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活</w:t>
      </w: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动水平数据一：原材料消耗量</w:t>
      </w:r>
    </w:p>
    <w:p w14:paraId="1BA8193D">
      <w:pPr>
        <w:pStyle w:val="7"/>
        <w:bidi w:val="0"/>
      </w:pPr>
      <w:r>
        <w:t>表3-1    原辅材料消耗量</w:t>
      </w:r>
    </w:p>
    <w:tbl>
      <w:tblPr>
        <w:tblStyle w:val="17"/>
        <w:tblW w:w="8298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694"/>
        <w:gridCol w:w="1062"/>
        <w:gridCol w:w="2678"/>
      </w:tblGrid>
      <w:tr w14:paraId="01FE4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64" w:type="dxa"/>
            <w:vAlign w:val="center"/>
          </w:tcPr>
          <w:p w14:paraId="29BDE844">
            <w:pPr>
              <w:pStyle w:val="7"/>
              <w:bidi w:val="0"/>
              <w:jc w:val="center"/>
            </w:pPr>
            <w:r>
              <w:t>序号</w:t>
            </w:r>
          </w:p>
        </w:tc>
        <w:tc>
          <w:tcPr>
            <w:tcW w:w="3694" w:type="dxa"/>
            <w:vAlign w:val="center"/>
          </w:tcPr>
          <w:p w14:paraId="0D669450">
            <w:pPr>
              <w:pStyle w:val="7"/>
              <w:bidi w:val="0"/>
              <w:jc w:val="center"/>
            </w:pPr>
            <w:r>
              <w:t>原辅材料</w:t>
            </w:r>
          </w:p>
        </w:tc>
        <w:tc>
          <w:tcPr>
            <w:tcW w:w="1062" w:type="dxa"/>
            <w:vAlign w:val="center"/>
          </w:tcPr>
          <w:p w14:paraId="494A7BD0">
            <w:pPr>
              <w:pStyle w:val="7"/>
              <w:bidi w:val="0"/>
              <w:jc w:val="center"/>
            </w:pPr>
            <w:r>
              <w:t>单位</w:t>
            </w:r>
          </w:p>
        </w:tc>
        <w:tc>
          <w:tcPr>
            <w:tcW w:w="2678" w:type="dxa"/>
            <w:vAlign w:val="center"/>
          </w:tcPr>
          <w:p w14:paraId="6F4220DA">
            <w:pPr>
              <w:pStyle w:val="7"/>
              <w:bidi w:val="0"/>
              <w:jc w:val="center"/>
            </w:pPr>
            <w:r>
              <w:t>2021年实际用量</w:t>
            </w:r>
          </w:p>
        </w:tc>
      </w:tr>
      <w:tr w14:paraId="6E513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4" w:type="dxa"/>
            <w:vAlign w:val="center"/>
          </w:tcPr>
          <w:p w14:paraId="03831945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694" w:type="dxa"/>
            <w:vAlign w:val="center"/>
          </w:tcPr>
          <w:p w14:paraId="25A37FB8">
            <w:pPr>
              <w:pStyle w:val="7"/>
              <w:bidi w:val="0"/>
              <w:jc w:val="center"/>
              <w:rPr>
                <w:rFonts w:hint="default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锅毛坯</w:t>
            </w:r>
          </w:p>
        </w:tc>
        <w:tc>
          <w:tcPr>
            <w:tcW w:w="1062" w:type="dxa"/>
            <w:vAlign w:val="center"/>
          </w:tcPr>
          <w:p w14:paraId="32AD61F1">
            <w:pPr>
              <w:pStyle w:val="7"/>
              <w:bidi w:val="0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万个</w:t>
            </w:r>
            <w:r>
              <w:rPr>
                <w:b w:val="0"/>
                <w:bCs w:val="0"/>
                <w:highlight w:val="none"/>
              </w:rPr>
              <w:t>/年</w:t>
            </w:r>
          </w:p>
        </w:tc>
        <w:tc>
          <w:tcPr>
            <w:tcW w:w="2678" w:type="dxa"/>
            <w:vAlign w:val="center"/>
          </w:tcPr>
          <w:p w14:paraId="39C5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highlight w:val="yellow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 xml:space="preserve">1785.5 </w:t>
            </w:r>
          </w:p>
        </w:tc>
      </w:tr>
      <w:tr w14:paraId="70F61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4" w:type="dxa"/>
            <w:vAlign w:val="center"/>
          </w:tcPr>
          <w:p w14:paraId="33461DF5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694" w:type="dxa"/>
            <w:vAlign w:val="center"/>
          </w:tcPr>
          <w:p w14:paraId="5790F03C">
            <w:pPr>
              <w:pStyle w:val="7"/>
              <w:bidi w:val="0"/>
              <w:jc w:val="center"/>
              <w:rPr>
                <w:rFonts w:hint="default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白刚玉</w:t>
            </w:r>
          </w:p>
        </w:tc>
        <w:tc>
          <w:tcPr>
            <w:tcW w:w="1062" w:type="dxa"/>
            <w:vAlign w:val="center"/>
          </w:tcPr>
          <w:p w14:paraId="62626C3F">
            <w:pPr>
              <w:pStyle w:val="7"/>
              <w:bidi w:val="0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吨</w:t>
            </w:r>
            <w:r>
              <w:rPr>
                <w:b w:val="0"/>
                <w:bCs w:val="0"/>
                <w:highlight w:val="none"/>
              </w:rPr>
              <w:t>/年</w:t>
            </w:r>
          </w:p>
        </w:tc>
        <w:tc>
          <w:tcPr>
            <w:tcW w:w="2678" w:type="dxa"/>
            <w:vAlign w:val="center"/>
          </w:tcPr>
          <w:p w14:paraId="08B5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highlight w:val="yellow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26.54</w:t>
            </w:r>
          </w:p>
        </w:tc>
      </w:tr>
      <w:tr w14:paraId="30707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4" w:type="dxa"/>
            <w:vAlign w:val="center"/>
          </w:tcPr>
          <w:p w14:paraId="7C61DB14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694" w:type="dxa"/>
            <w:vAlign w:val="center"/>
          </w:tcPr>
          <w:p w14:paraId="2783455E">
            <w:pPr>
              <w:pStyle w:val="7"/>
              <w:bidi w:val="0"/>
              <w:jc w:val="center"/>
              <w:rPr>
                <w:rFonts w:hint="default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水性涂料</w:t>
            </w:r>
          </w:p>
        </w:tc>
        <w:tc>
          <w:tcPr>
            <w:tcW w:w="1062" w:type="dxa"/>
            <w:vAlign w:val="center"/>
          </w:tcPr>
          <w:p w14:paraId="3BD7BF97">
            <w:pPr>
              <w:pStyle w:val="7"/>
              <w:bidi w:val="0"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>吨/年</w:t>
            </w:r>
          </w:p>
        </w:tc>
        <w:tc>
          <w:tcPr>
            <w:tcW w:w="2678" w:type="dxa"/>
            <w:vAlign w:val="center"/>
          </w:tcPr>
          <w:p w14:paraId="0497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highlight w:val="yellow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 xml:space="preserve"> 289.3</w:t>
            </w:r>
          </w:p>
        </w:tc>
      </w:tr>
      <w:tr w14:paraId="25AA2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4" w:type="dxa"/>
            <w:vAlign w:val="center"/>
          </w:tcPr>
          <w:p w14:paraId="1EFEF48D">
            <w:pPr>
              <w:pStyle w:val="7"/>
              <w:bidi w:val="0"/>
              <w:jc w:val="center"/>
              <w:rPr>
                <w:rFonts w:hint="eastAsia" w:eastAsia="楷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3694" w:type="dxa"/>
            <w:vAlign w:val="center"/>
          </w:tcPr>
          <w:p w14:paraId="6BB819E0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清洗剂</w:t>
            </w:r>
          </w:p>
        </w:tc>
        <w:tc>
          <w:tcPr>
            <w:tcW w:w="1062" w:type="dxa"/>
            <w:vAlign w:val="center"/>
          </w:tcPr>
          <w:p w14:paraId="35C645CB">
            <w:pPr>
              <w:pStyle w:val="7"/>
              <w:bidi w:val="0"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>吨/年</w:t>
            </w:r>
          </w:p>
        </w:tc>
        <w:tc>
          <w:tcPr>
            <w:tcW w:w="2678" w:type="dxa"/>
            <w:vAlign w:val="center"/>
          </w:tcPr>
          <w:p w14:paraId="5D2B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 xml:space="preserve">30.24 </w:t>
            </w:r>
          </w:p>
        </w:tc>
      </w:tr>
    </w:tbl>
    <w:p w14:paraId="3032E5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052E2B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活动水平数据二：产品生产过程能源消耗</w:t>
      </w: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量</w:t>
      </w:r>
    </w:p>
    <w:p w14:paraId="4F3EC0D2">
      <w:pPr>
        <w:pStyle w:val="7"/>
        <w:bidi w:val="0"/>
      </w:pPr>
      <w:r>
        <w:t>表3-2    能源消耗量</w:t>
      </w:r>
    </w:p>
    <w:tbl>
      <w:tblPr>
        <w:tblStyle w:val="17"/>
        <w:tblW w:w="8404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3924"/>
        <w:gridCol w:w="2458"/>
      </w:tblGrid>
      <w:tr w14:paraId="3050F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22" w:type="dxa"/>
            <w:vAlign w:val="center"/>
          </w:tcPr>
          <w:p w14:paraId="157AA6E7">
            <w:pPr>
              <w:pStyle w:val="7"/>
              <w:bidi w:val="0"/>
              <w:jc w:val="center"/>
            </w:pPr>
            <w:r>
              <w:t>序号</w:t>
            </w:r>
          </w:p>
        </w:tc>
        <w:tc>
          <w:tcPr>
            <w:tcW w:w="3924" w:type="dxa"/>
            <w:vAlign w:val="center"/>
          </w:tcPr>
          <w:p w14:paraId="19B93EC8">
            <w:pPr>
              <w:pStyle w:val="7"/>
              <w:bidi w:val="0"/>
              <w:jc w:val="center"/>
            </w:pPr>
            <w:r>
              <w:t>主要耗能</w:t>
            </w:r>
          </w:p>
        </w:tc>
        <w:tc>
          <w:tcPr>
            <w:tcW w:w="2458" w:type="dxa"/>
            <w:vAlign w:val="center"/>
          </w:tcPr>
          <w:p w14:paraId="715EB0F1">
            <w:pPr>
              <w:pStyle w:val="7"/>
              <w:bidi w:val="0"/>
              <w:jc w:val="center"/>
            </w:pPr>
            <w:r>
              <w:t>数据</w:t>
            </w:r>
          </w:p>
        </w:tc>
      </w:tr>
      <w:tr w14:paraId="63234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22" w:type="dxa"/>
            <w:vAlign w:val="center"/>
          </w:tcPr>
          <w:p w14:paraId="6376A072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24" w:type="dxa"/>
            <w:vAlign w:val="center"/>
          </w:tcPr>
          <w:p w14:paraId="685B71C5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电力 (万kwh)</w:t>
            </w:r>
          </w:p>
        </w:tc>
        <w:tc>
          <w:tcPr>
            <w:tcW w:w="2458" w:type="dxa"/>
            <w:vAlign w:val="center"/>
          </w:tcPr>
          <w:p w14:paraId="0290D7E3">
            <w:pPr>
              <w:pStyle w:val="7"/>
              <w:bidi w:val="0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244.86</w:t>
            </w:r>
          </w:p>
        </w:tc>
      </w:tr>
    </w:tbl>
    <w:p w14:paraId="519C3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56938B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sectPr>
          <w:pgSz w:w="11910" w:h="16840"/>
          <w:pgMar w:top="1440" w:right="1800" w:bottom="1440" w:left="1800" w:header="850" w:footer="1134" w:gutter="0"/>
          <w:pgNumType w:fmt="decimal"/>
          <w:cols w:space="720" w:num="1"/>
        </w:sectPr>
      </w:pPr>
    </w:p>
    <w:p w14:paraId="40FF3465">
      <w:pPr>
        <w:numPr>
          <w:ilvl w:val="0"/>
          <w:numId w:val="2"/>
        </w:numPr>
        <w:spacing w:before="114" w:line="224" w:lineRule="auto"/>
        <w:ind w:left="1422"/>
        <w:outlineLvl w:val="0"/>
        <w:rPr>
          <w:rFonts w:hint="eastAsia" w:ascii="宋体" w:hAnsi="宋体" w:eastAsia="宋体" w:cs="宋体"/>
          <w:spacing w:val="8"/>
          <w:sz w:val="35"/>
          <w:szCs w:val="35"/>
        </w:rPr>
      </w:pPr>
      <w:r>
        <w:rPr>
          <w:rFonts w:hint="eastAsia" w:ascii="宋体" w:hAnsi="宋体" w:eastAsia="宋体" w:cs="宋体"/>
          <w:spacing w:val="8"/>
          <w:sz w:val="35"/>
          <w:szCs w:val="35"/>
        </w:rPr>
        <w:t>排放因子数据及来源说明</w:t>
      </w:r>
    </w:p>
    <w:p w14:paraId="675279F4">
      <w:pPr>
        <w:pStyle w:val="9"/>
        <w:bidi w:val="0"/>
      </w:pPr>
      <w:r>
        <w:t xml:space="preserve"> </w:t>
      </w:r>
    </w:p>
    <w:p w14:paraId="0FA477FA">
      <w:pPr>
        <w:pStyle w:val="5"/>
        <w:numPr>
          <w:ilvl w:val="1"/>
          <w:numId w:val="0"/>
        </w:numPr>
        <w:bidi w:val="0"/>
        <w:ind w:leftChars="0"/>
        <w:jc w:val="center"/>
      </w:pPr>
      <w:bookmarkStart w:id="0" w:name="_Toc4523"/>
      <w:r>
        <w:t>附表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报告主体排放活动水平数据</w:t>
      </w:r>
    </w:p>
    <w:p w14:paraId="3A49F577">
      <w:pPr>
        <w:spacing w:line="117" w:lineRule="exact"/>
      </w:pPr>
    </w:p>
    <w:tbl>
      <w:tblPr>
        <w:tblStyle w:val="17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2012"/>
        <w:gridCol w:w="2182"/>
        <w:gridCol w:w="2363"/>
      </w:tblGrid>
      <w:tr w14:paraId="06224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FF6F5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57554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燃料品种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74A52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消耗量</w:t>
            </w:r>
          </w:p>
          <w:p w14:paraId="2BED60CE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(吨 )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6AC44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低位发热量</w:t>
            </w:r>
          </w:p>
          <w:p w14:paraId="36ABA5BE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(GJ/吨 )</w:t>
            </w:r>
          </w:p>
        </w:tc>
      </w:tr>
      <w:tr w14:paraId="5C80A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C945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化石燃料燃烧*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EF26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柴油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0BE7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33.01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F506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43.33</w:t>
            </w:r>
          </w:p>
        </w:tc>
      </w:tr>
    </w:tbl>
    <w:p w14:paraId="334EE1B9">
      <w:pPr>
        <w:pStyle w:val="7"/>
        <w:bidi w:val="0"/>
        <w:jc w:val="center"/>
        <w:rPr>
          <w:rFonts w:hint="eastAsia"/>
          <w:highlight w:val="none"/>
          <w:lang w:val="en-US" w:eastAsia="zh-CN"/>
        </w:rPr>
      </w:pPr>
    </w:p>
    <w:p w14:paraId="709140BC">
      <w:pPr>
        <w:pStyle w:val="7"/>
        <w:bidi w:val="0"/>
        <w:jc w:val="center"/>
        <w:rPr>
          <w:rFonts w:hint="eastAsia"/>
          <w:highlight w:val="none"/>
          <w:lang w:val="en-US" w:eastAsia="zh-CN"/>
        </w:rPr>
      </w:pP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1"/>
      </w:tblGrid>
      <w:tr w14:paraId="26DC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pct"/>
            <w:vAlign w:val="center"/>
          </w:tcPr>
          <w:p w14:paraId="65EE2C46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1D8CBF37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参数名称</w:t>
            </w:r>
          </w:p>
        </w:tc>
        <w:tc>
          <w:tcPr>
            <w:tcW w:w="1250" w:type="pct"/>
            <w:vAlign w:val="center"/>
          </w:tcPr>
          <w:p w14:paraId="0D351E12">
            <w:pPr>
              <w:pStyle w:val="7"/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数值</w:t>
            </w:r>
          </w:p>
        </w:tc>
        <w:tc>
          <w:tcPr>
            <w:tcW w:w="1250" w:type="pct"/>
            <w:vAlign w:val="center"/>
          </w:tcPr>
          <w:p w14:paraId="47DB225F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</w:t>
            </w:r>
          </w:p>
        </w:tc>
      </w:tr>
      <w:tr w14:paraId="15AE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pct"/>
            <w:vAlign w:val="center"/>
          </w:tcPr>
          <w:p w14:paraId="0A431039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净购入电力</w:t>
            </w:r>
          </w:p>
        </w:tc>
        <w:tc>
          <w:tcPr>
            <w:tcW w:w="1250" w:type="pct"/>
            <w:vAlign w:val="center"/>
          </w:tcPr>
          <w:p w14:paraId="413D9C33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净电购入量</w:t>
            </w:r>
          </w:p>
        </w:tc>
        <w:tc>
          <w:tcPr>
            <w:tcW w:w="1250" w:type="pct"/>
            <w:vAlign w:val="center"/>
          </w:tcPr>
          <w:p w14:paraId="20524F94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2448.6</w:t>
            </w:r>
          </w:p>
        </w:tc>
        <w:tc>
          <w:tcPr>
            <w:tcW w:w="1250" w:type="pct"/>
            <w:vAlign w:val="center"/>
          </w:tcPr>
          <w:p w14:paraId="27DF0D71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MWh</w:t>
            </w:r>
          </w:p>
        </w:tc>
      </w:tr>
    </w:tbl>
    <w:p w14:paraId="26C94803">
      <w:pPr>
        <w:pStyle w:val="9"/>
        <w:bidi w:val="0"/>
      </w:pPr>
    </w:p>
    <w:p w14:paraId="7CB7D5F2">
      <w:pPr>
        <w:pStyle w:val="5"/>
        <w:numPr>
          <w:ilvl w:val="1"/>
          <w:numId w:val="0"/>
        </w:numPr>
        <w:bidi w:val="0"/>
        <w:ind w:leftChars="0"/>
        <w:jc w:val="center"/>
      </w:pPr>
      <w:r>
        <w:t>附表</w:t>
      </w:r>
      <w:r>
        <w:rPr>
          <w:rFonts w:hint="eastAsia"/>
          <w:lang w:val="en-US" w:eastAsia="zh-CN"/>
        </w:rPr>
        <w:t xml:space="preserve">2  </w:t>
      </w:r>
      <w:r>
        <w:t>报告主体排放因子和计算系数</w:t>
      </w:r>
      <w:bookmarkEnd w:id="0"/>
    </w:p>
    <w:tbl>
      <w:tblPr>
        <w:tblStyle w:val="17"/>
        <w:tblW w:w="84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038"/>
        <w:gridCol w:w="2212"/>
        <w:gridCol w:w="2394"/>
      </w:tblGrid>
      <w:tr w14:paraId="043F8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AE50E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DC630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燃料品种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423FF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单位热值含碳量</w:t>
            </w:r>
          </w:p>
          <w:p w14:paraId="28B791B0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（tC/GJ）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63B59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碳氧化率</w:t>
            </w:r>
          </w:p>
          <w:p w14:paraId="1BE93390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（%）</w:t>
            </w:r>
          </w:p>
        </w:tc>
      </w:tr>
      <w:tr w14:paraId="4F640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A4C2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化石燃料燃烧*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E75E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柴油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8445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20.2</w:t>
            </w:r>
            <w:r>
              <w:rPr>
                <w:rFonts w:hint="default"/>
                <w:b w:val="0"/>
                <w:bCs w:val="0"/>
                <w:highlight w:val="none"/>
                <w:lang w:val="en-US" w:eastAsia="zh-CN"/>
              </w:rPr>
              <w:t>×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5478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98</w:t>
            </w:r>
          </w:p>
        </w:tc>
      </w:tr>
    </w:tbl>
    <w:p w14:paraId="3BB21071">
      <w:pPr>
        <w:pStyle w:val="7"/>
        <w:bidi w:val="0"/>
        <w:jc w:val="center"/>
        <w:rPr>
          <w:rFonts w:hint="eastAsia"/>
          <w:highlight w:val="none"/>
          <w:lang w:val="en-US" w:eastAsia="zh-CN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2"/>
        <w:gridCol w:w="2134"/>
        <w:gridCol w:w="2146"/>
      </w:tblGrid>
      <w:tr w14:paraId="7480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vAlign w:val="center"/>
          </w:tcPr>
          <w:p w14:paraId="021F893D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122" w:type="dxa"/>
            <w:vAlign w:val="center"/>
          </w:tcPr>
          <w:p w14:paraId="4D81B79C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参数名称</w:t>
            </w:r>
          </w:p>
        </w:tc>
        <w:tc>
          <w:tcPr>
            <w:tcW w:w="2134" w:type="dxa"/>
            <w:vAlign w:val="center"/>
          </w:tcPr>
          <w:p w14:paraId="64B5EBB2">
            <w:pPr>
              <w:pStyle w:val="7"/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数值</w:t>
            </w:r>
          </w:p>
        </w:tc>
        <w:tc>
          <w:tcPr>
            <w:tcW w:w="2146" w:type="dxa"/>
            <w:vAlign w:val="center"/>
          </w:tcPr>
          <w:p w14:paraId="3E7FE0B3">
            <w:pPr>
              <w:pStyle w:val="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</w:t>
            </w:r>
          </w:p>
        </w:tc>
      </w:tr>
      <w:tr w14:paraId="6C41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vAlign w:val="center"/>
          </w:tcPr>
          <w:p w14:paraId="64CB881F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净购入电力</w:t>
            </w:r>
          </w:p>
        </w:tc>
        <w:tc>
          <w:tcPr>
            <w:tcW w:w="2122" w:type="dxa"/>
            <w:vAlign w:val="center"/>
          </w:tcPr>
          <w:p w14:paraId="6906C52D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净电购入量</w:t>
            </w:r>
          </w:p>
        </w:tc>
        <w:tc>
          <w:tcPr>
            <w:tcW w:w="2134" w:type="dxa"/>
            <w:vAlign w:val="center"/>
          </w:tcPr>
          <w:p w14:paraId="55E5ED73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0.5810</w:t>
            </w:r>
          </w:p>
        </w:tc>
        <w:tc>
          <w:tcPr>
            <w:tcW w:w="2146" w:type="dxa"/>
            <w:vAlign w:val="center"/>
          </w:tcPr>
          <w:p w14:paraId="338591C3">
            <w:pPr>
              <w:pStyle w:val="7"/>
              <w:bidi w:val="0"/>
              <w:jc w:val="center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tCO2/MWh</w:t>
            </w:r>
          </w:p>
        </w:tc>
      </w:tr>
    </w:tbl>
    <w:p w14:paraId="4B1C108D">
      <w:pPr>
        <w:rPr>
          <w:rFonts w:ascii="宋体" w:hAnsi="宋体" w:eastAsia="宋体" w:cs="宋体"/>
          <w:spacing w:val="16"/>
          <w:sz w:val="35"/>
          <w:szCs w:val="35"/>
        </w:rPr>
      </w:pPr>
    </w:p>
    <w:p w14:paraId="4D8E5D26">
      <w:pPr>
        <w:pStyle w:val="7"/>
        <w:bidi w:val="0"/>
        <w:jc w:val="left"/>
      </w:pPr>
      <w:r>
        <w:rPr>
          <w:rFonts w:hint="eastAsia"/>
          <w:lang w:val="en-US" w:eastAsia="zh-CN"/>
        </w:rPr>
        <w:t>数据来源于：《中国化工生产企业温室气体排放核算方法与报告指南（试行）》</w:t>
      </w:r>
      <w:r>
        <w:br w:type="page"/>
      </w:r>
    </w:p>
    <w:p w14:paraId="1D0B4DBF">
      <w:pPr>
        <w:spacing w:before="114" w:line="224" w:lineRule="auto"/>
        <w:ind w:left="142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6"/>
          <w:sz w:val="35"/>
          <w:szCs w:val="35"/>
        </w:rPr>
        <w:t>第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五</w:t>
      </w:r>
      <w:r>
        <w:rPr>
          <w:rFonts w:ascii="宋体" w:hAnsi="宋体" w:eastAsia="宋体" w:cs="宋体"/>
          <w:spacing w:val="8"/>
          <w:sz w:val="35"/>
          <w:szCs w:val="35"/>
        </w:rPr>
        <w:t>章  碳足迹核算及需说明的情况</w:t>
      </w:r>
    </w:p>
    <w:p w14:paraId="21E3CBD2">
      <w:pPr>
        <w:spacing w:line="300" w:lineRule="auto"/>
        <w:rPr>
          <w:rFonts w:ascii="Arial"/>
          <w:sz w:val="21"/>
        </w:rPr>
      </w:pPr>
    </w:p>
    <w:p w14:paraId="1C79E5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2"/>
          <w:sz w:val="31"/>
          <w:szCs w:val="31"/>
        </w:rPr>
        <w:t>结</w:t>
      </w:r>
      <w:r>
        <w:rPr>
          <w:rFonts w:ascii="宋体" w:hAnsi="宋体" w:eastAsia="宋体" w:cs="宋体"/>
          <w:spacing w:val="-18"/>
          <w:sz w:val="31"/>
          <w:szCs w:val="31"/>
        </w:rPr>
        <w:t>合</w:t>
      </w:r>
      <w:r>
        <w:rPr>
          <w:rFonts w:ascii="宋体" w:hAnsi="宋体" w:eastAsia="宋体" w:cs="宋体"/>
          <w:spacing w:val="-16"/>
          <w:sz w:val="31"/>
          <w:szCs w:val="31"/>
        </w:rPr>
        <w:t>主要产品</w:t>
      </w:r>
      <w:r>
        <w:rPr>
          <w:rFonts w:ascii="宋体" w:hAnsi="宋体" w:eastAsia="宋体" w:cs="宋体"/>
          <w:spacing w:val="-6"/>
          <w:sz w:val="31"/>
          <w:szCs w:val="31"/>
        </w:rPr>
        <w:t>的碳足迹分析，引用生命周期评价法比较合适，本报告不涉及</w:t>
      </w:r>
      <w:r>
        <w:rPr>
          <w:rFonts w:ascii="宋体" w:hAnsi="宋体" w:eastAsia="宋体" w:cs="宋体"/>
          <w:spacing w:val="-1"/>
          <w:sz w:val="31"/>
          <w:szCs w:val="31"/>
        </w:rPr>
        <w:t>消</w:t>
      </w:r>
      <w:r>
        <w:rPr>
          <w:rFonts w:ascii="宋体" w:hAnsi="宋体" w:eastAsia="宋体" w:cs="宋体"/>
          <w:spacing w:val="4"/>
          <w:sz w:val="31"/>
          <w:szCs w:val="31"/>
        </w:rPr>
        <w:t>费终</w:t>
      </w:r>
      <w:r>
        <w:rPr>
          <w:rFonts w:ascii="宋体" w:hAnsi="宋体" w:eastAsia="宋体" w:cs="宋体"/>
          <w:spacing w:val="2"/>
          <w:sz w:val="31"/>
          <w:szCs w:val="31"/>
        </w:rPr>
        <w:t>端的排放量。</w:t>
      </w:r>
    </w:p>
    <w:p w14:paraId="588582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7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一</w:t>
      </w:r>
      <w:r>
        <w:rPr>
          <w:rFonts w:hint="eastAsia" w:ascii="宋体" w:hAnsi="宋体" w:eastAsia="宋体" w:cs="宋体"/>
          <w:spacing w:val="7"/>
          <w:sz w:val="31"/>
          <w:szCs w:val="31"/>
          <w:lang w:eastAsia="zh-CN"/>
        </w:rPr>
        <w:t>）</w:t>
      </w:r>
      <w:r>
        <w:rPr>
          <w:rFonts w:ascii="宋体" w:hAnsi="宋体" w:eastAsia="宋体" w:cs="宋体"/>
          <w:spacing w:val="6"/>
          <w:sz w:val="31"/>
          <w:szCs w:val="31"/>
        </w:rPr>
        <w:t>前端原材料获取</w:t>
      </w:r>
    </w:p>
    <w:p w14:paraId="01E649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对</w:t>
      </w:r>
      <w:r>
        <w:rPr>
          <w:rFonts w:ascii="宋体" w:hAnsi="宋体" w:eastAsia="宋体" w:cs="宋体"/>
          <w:spacing w:val="-5"/>
          <w:sz w:val="31"/>
          <w:szCs w:val="31"/>
        </w:rPr>
        <w:t>于原材料获得所需碳排放的计算，没有计算种植、原材料加</w:t>
      </w:r>
      <w:r>
        <w:rPr>
          <w:rFonts w:ascii="宋体" w:hAnsi="宋体" w:eastAsia="宋体" w:cs="宋体"/>
          <w:spacing w:val="3"/>
          <w:sz w:val="31"/>
          <w:szCs w:val="31"/>
        </w:rPr>
        <w:t>工的碳足迹，仅计算从原材料供应商到公司仓库的碳排放</w:t>
      </w:r>
      <w:r>
        <w:rPr>
          <w:rFonts w:ascii="宋体" w:hAnsi="宋体" w:eastAsia="宋体" w:cs="宋体"/>
          <w:spacing w:val="1"/>
          <w:sz w:val="31"/>
          <w:szCs w:val="31"/>
        </w:rPr>
        <w:t>。</w:t>
      </w:r>
    </w:p>
    <w:p w14:paraId="350BD2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公司</w:t>
      </w:r>
      <w:r>
        <w:rPr>
          <w:rFonts w:ascii="宋体" w:hAnsi="宋体" w:eastAsia="宋体" w:cs="宋体"/>
          <w:spacing w:val="-9"/>
          <w:sz w:val="31"/>
          <w:szCs w:val="31"/>
        </w:rPr>
        <w:t>原</w:t>
      </w:r>
      <w:r>
        <w:rPr>
          <w:rFonts w:ascii="宋体" w:hAnsi="宋体" w:eastAsia="宋体" w:cs="宋体"/>
          <w:spacing w:val="-5"/>
          <w:sz w:val="31"/>
          <w:szCs w:val="31"/>
        </w:rPr>
        <w:t>材料供应商到公司的距离具体见下表，运输方式以公路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运输为主</w:t>
      </w:r>
      <w:r>
        <w:rPr>
          <w:rFonts w:ascii="宋体" w:hAnsi="宋体" w:eastAsia="宋体" w:cs="宋体"/>
          <w:spacing w:val="1"/>
          <w:sz w:val="31"/>
          <w:szCs w:val="31"/>
        </w:rPr>
        <w:t>。</w:t>
      </w:r>
    </w:p>
    <w:p w14:paraId="486C04F8">
      <w:pPr>
        <w:pStyle w:val="7"/>
        <w:bidi w:val="0"/>
      </w:pPr>
      <w:r>
        <w:t>表4.1    原辅材料运输数据统计表</w:t>
      </w:r>
    </w:p>
    <w:tbl>
      <w:tblPr>
        <w:tblStyle w:val="17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127"/>
        <w:gridCol w:w="2388"/>
        <w:gridCol w:w="2388"/>
      </w:tblGrid>
      <w:tr w14:paraId="7B12C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51" w:type="pct"/>
            <w:vAlign w:val="center"/>
          </w:tcPr>
          <w:p w14:paraId="78E49F77">
            <w:pPr>
              <w:pStyle w:val="7"/>
              <w:bidi w:val="0"/>
              <w:jc w:val="center"/>
            </w:pPr>
            <w:r>
              <w:t>原辅材料名称</w:t>
            </w:r>
          </w:p>
        </w:tc>
        <w:tc>
          <w:tcPr>
            <w:tcW w:w="1278" w:type="pct"/>
            <w:vAlign w:val="center"/>
          </w:tcPr>
          <w:p w14:paraId="322187F2">
            <w:pPr>
              <w:pStyle w:val="7"/>
              <w:bidi w:val="0"/>
              <w:jc w:val="center"/>
            </w:pPr>
            <w:r>
              <w:t>供应商距离 (公里)</w:t>
            </w:r>
          </w:p>
        </w:tc>
        <w:tc>
          <w:tcPr>
            <w:tcW w:w="1435" w:type="pct"/>
            <w:vAlign w:val="center"/>
          </w:tcPr>
          <w:p w14:paraId="7F43B4F1">
            <w:pPr>
              <w:pStyle w:val="7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发车次数（次/月）</w:t>
            </w:r>
          </w:p>
        </w:tc>
        <w:tc>
          <w:tcPr>
            <w:tcW w:w="1435" w:type="pct"/>
            <w:vAlign w:val="center"/>
          </w:tcPr>
          <w:p w14:paraId="0ED0B86E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年度公里数</w:t>
            </w:r>
          </w:p>
        </w:tc>
      </w:tr>
      <w:tr w14:paraId="214EB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1" w:type="pct"/>
            <w:vAlign w:val="center"/>
          </w:tcPr>
          <w:p w14:paraId="554BBE8E">
            <w:pPr>
              <w:pStyle w:val="7"/>
              <w:bidi w:val="0"/>
              <w:jc w:val="center"/>
              <w:rPr>
                <w:highlight w:val="yellow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锅毛坯</w:t>
            </w:r>
          </w:p>
        </w:tc>
        <w:tc>
          <w:tcPr>
            <w:tcW w:w="1278" w:type="pct"/>
            <w:vAlign w:val="center"/>
          </w:tcPr>
          <w:p w14:paraId="34A506C6">
            <w:pPr>
              <w:pStyle w:val="7"/>
              <w:bidi w:val="0"/>
              <w:jc w:val="center"/>
              <w:rPr>
                <w:rFonts w:hint="default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121</w:t>
            </w:r>
          </w:p>
        </w:tc>
        <w:tc>
          <w:tcPr>
            <w:tcW w:w="1435" w:type="pct"/>
            <w:vAlign w:val="center"/>
          </w:tcPr>
          <w:p w14:paraId="613B5869">
            <w:pPr>
              <w:pStyle w:val="7"/>
              <w:bidi w:val="0"/>
              <w:jc w:val="center"/>
              <w:rPr>
                <w:rFonts w:hint="default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89</w:t>
            </w:r>
          </w:p>
        </w:tc>
        <w:tc>
          <w:tcPr>
            <w:tcW w:w="2388" w:type="dxa"/>
            <w:vAlign w:val="center"/>
          </w:tcPr>
          <w:p w14:paraId="7959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129228</w:t>
            </w:r>
          </w:p>
        </w:tc>
      </w:tr>
      <w:tr w14:paraId="0C09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1" w:type="pct"/>
            <w:vAlign w:val="center"/>
          </w:tcPr>
          <w:p w14:paraId="74C834FB">
            <w:pPr>
              <w:pStyle w:val="7"/>
              <w:bidi w:val="0"/>
              <w:jc w:val="center"/>
              <w:rPr>
                <w:highlight w:val="yellow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白刚玉</w:t>
            </w:r>
          </w:p>
        </w:tc>
        <w:tc>
          <w:tcPr>
            <w:tcW w:w="1278" w:type="pct"/>
            <w:vAlign w:val="center"/>
          </w:tcPr>
          <w:p w14:paraId="4692B405">
            <w:pPr>
              <w:pStyle w:val="7"/>
              <w:bidi w:val="0"/>
              <w:jc w:val="center"/>
              <w:rPr>
                <w:rFonts w:hint="default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117</w:t>
            </w:r>
          </w:p>
        </w:tc>
        <w:tc>
          <w:tcPr>
            <w:tcW w:w="1435" w:type="pct"/>
            <w:vAlign w:val="center"/>
          </w:tcPr>
          <w:p w14:paraId="3818CC5C">
            <w:pPr>
              <w:pStyle w:val="7"/>
              <w:bidi w:val="0"/>
              <w:jc w:val="center"/>
              <w:rPr>
                <w:rFonts w:hint="default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388" w:type="dxa"/>
            <w:vAlign w:val="center"/>
          </w:tcPr>
          <w:p w14:paraId="1FD6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1404</w:t>
            </w:r>
          </w:p>
        </w:tc>
      </w:tr>
      <w:tr w14:paraId="3E9BA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1" w:type="pct"/>
            <w:vAlign w:val="center"/>
          </w:tcPr>
          <w:p w14:paraId="2A25F235">
            <w:pPr>
              <w:pStyle w:val="7"/>
              <w:bidi w:val="0"/>
              <w:jc w:val="center"/>
              <w:rPr>
                <w:highlight w:val="yellow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水性涂料</w:t>
            </w:r>
          </w:p>
        </w:tc>
        <w:tc>
          <w:tcPr>
            <w:tcW w:w="1278" w:type="pct"/>
            <w:vAlign w:val="center"/>
          </w:tcPr>
          <w:p w14:paraId="5537FA2B">
            <w:pPr>
              <w:pStyle w:val="7"/>
              <w:bidi w:val="0"/>
              <w:jc w:val="center"/>
              <w:rPr>
                <w:rFonts w:hint="default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1414</w:t>
            </w:r>
          </w:p>
        </w:tc>
        <w:tc>
          <w:tcPr>
            <w:tcW w:w="1435" w:type="pct"/>
            <w:vAlign w:val="center"/>
          </w:tcPr>
          <w:p w14:paraId="483502DA">
            <w:pPr>
              <w:pStyle w:val="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388" w:type="dxa"/>
            <w:vAlign w:val="center"/>
          </w:tcPr>
          <w:p w14:paraId="31B7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67872</w:t>
            </w:r>
          </w:p>
        </w:tc>
      </w:tr>
      <w:tr w14:paraId="13FE0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1" w:type="pct"/>
            <w:vAlign w:val="center"/>
          </w:tcPr>
          <w:p w14:paraId="5F3DDDAF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清洗剂</w:t>
            </w:r>
          </w:p>
        </w:tc>
        <w:tc>
          <w:tcPr>
            <w:tcW w:w="1278" w:type="pct"/>
            <w:vAlign w:val="center"/>
          </w:tcPr>
          <w:p w14:paraId="34C64534">
            <w:pPr>
              <w:pStyle w:val="7"/>
              <w:bidi w:val="0"/>
              <w:jc w:val="center"/>
              <w:rPr>
                <w:rFonts w:hint="default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90</w:t>
            </w:r>
          </w:p>
        </w:tc>
        <w:tc>
          <w:tcPr>
            <w:tcW w:w="1435" w:type="pct"/>
            <w:vAlign w:val="center"/>
          </w:tcPr>
          <w:p w14:paraId="4C22D5B4">
            <w:pPr>
              <w:pStyle w:val="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388" w:type="dxa"/>
            <w:vAlign w:val="center"/>
          </w:tcPr>
          <w:p w14:paraId="0791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1080</w:t>
            </w:r>
          </w:p>
        </w:tc>
      </w:tr>
    </w:tbl>
    <w:p w14:paraId="632CDD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8" w:firstLineChars="200"/>
        <w:jc w:val="both"/>
        <w:textAlignment w:val="baseline"/>
        <w:rPr>
          <w:rFonts w:ascii="宋体" w:hAnsi="宋体" w:eastAsia="宋体" w:cs="宋体"/>
          <w:spacing w:val="2"/>
          <w:sz w:val="31"/>
          <w:szCs w:val="31"/>
        </w:rPr>
      </w:pPr>
      <w:r>
        <w:rPr>
          <w:rFonts w:ascii="Times New Roman" w:hAnsi="Times New Roman" w:eastAsia="宋体" w:cs="宋体"/>
          <w:spacing w:val="2"/>
          <w:sz w:val="31"/>
          <w:szCs w:val="31"/>
        </w:rPr>
        <w:t>根据《IPCC2006</w:t>
      </w:r>
      <w:r>
        <w:rPr>
          <w:rFonts w:hint="eastAsia" w:ascii="Times New Roman" w:hAnsi="Times New Roman" w:eastAsia="宋体" w:cs="宋体"/>
          <w:spacing w:val="2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宋体" w:cs="宋体"/>
          <w:spacing w:val="2"/>
          <w:sz w:val="31"/>
          <w:szCs w:val="31"/>
        </w:rPr>
        <w:t>国家温室气体清单指南》和《省级温室气体清单编制指南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(试行) 》，公路运输能耗计算公式如下：</w:t>
      </w:r>
    </w:p>
    <w:p w14:paraId="3D07E1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8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 xml:space="preserve">公路(道路)交通能耗=百公里油耗*运行里程数*保有量 </w:t>
      </w:r>
      <w:r>
        <w:rPr>
          <w:rFonts w:hint="eastAsia" w:ascii="宋体" w:hAnsi="宋体" w:eastAsia="宋体" w:cs="宋体"/>
          <w:spacing w:val="2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spacing w:val="2"/>
          <w:sz w:val="31"/>
          <w:szCs w:val="31"/>
          <w:lang w:val="en-US" w:eastAsia="zh-CN"/>
        </w:rPr>
        <w:t>4.1</w:t>
      </w:r>
      <w:r>
        <w:rPr>
          <w:rFonts w:hint="eastAsia" w:ascii="宋体" w:hAnsi="宋体" w:eastAsia="宋体" w:cs="宋体"/>
          <w:spacing w:val="2"/>
          <w:sz w:val="31"/>
          <w:szCs w:val="31"/>
          <w:lang w:eastAsia="zh-CN"/>
        </w:rPr>
        <w:t>）</w:t>
      </w:r>
      <w:r>
        <w:rPr>
          <w:rFonts w:ascii="宋体" w:hAnsi="宋体" w:eastAsia="宋体" w:cs="宋体"/>
          <w:spacing w:val="2"/>
          <w:sz w:val="31"/>
          <w:szCs w:val="31"/>
        </w:rPr>
        <w:t>根据《中国交通运输能源消耗水平测算与分析》，中型</w:t>
      </w:r>
      <w:r>
        <w:rPr>
          <w:rFonts w:ascii="宋体" w:hAnsi="宋体" w:eastAsia="宋体" w:cs="宋体"/>
          <w:spacing w:val="-5"/>
          <w:sz w:val="31"/>
          <w:szCs w:val="31"/>
        </w:rPr>
        <w:t>货车平均百</w:t>
      </w:r>
      <w:r>
        <w:rPr>
          <w:rFonts w:ascii="宋体" w:hAnsi="宋体" w:eastAsia="宋体" w:cs="宋体"/>
          <w:spacing w:val="-2"/>
          <w:sz w:val="31"/>
          <w:szCs w:val="31"/>
        </w:rPr>
        <w:t>公里油耗为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.6  </w:t>
      </w:r>
      <w:r>
        <w:rPr>
          <w:rFonts w:ascii="宋体" w:hAnsi="宋体" w:eastAsia="宋体" w:cs="宋体"/>
          <w:spacing w:val="-1"/>
          <w:sz w:val="31"/>
          <w:szCs w:val="31"/>
        </w:rPr>
        <w:t>(升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/</w:t>
      </w:r>
      <w:r>
        <w:rPr>
          <w:rFonts w:ascii="宋体" w:hAnsi="宋体" w:eastAsia="宋体" w:cs="宋体"/>
          <w:spacing w:val="-1"/>
          <w:sz w:val="31"/>
          <w:szCs w:val="31"/>
        </w:rPr>
        <w:t>百公里)。</w:t>
      </w:r>
    </w:p>
    <w:p w14:paraId="1B8CE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各类原辅材</w:t>
      </w:r>
      <w:r>
        <w:rPr>
          <w:rFonts w:ascii="宋体" w:hAnsi="宋体" w:eastAsia="宋体" w:cs="宋体"/>
          <w:spacing w:val="5"/>
          <w:sz w:val="31"/>
          <w:szCs w:val="31"/>
        </w:rPr>
        <w:t>料</w:t>
      </w:r>
      <w:r>
        <w:rPr>
          <w:rFonts w:ascii="宋体" w:hAnsi="宋体" w:eastAsia="宋体" w:cs="宋体"/>
          <w:spacing w:val="3"/>
          <w:sz w:val="31"/>
          <w:szCs w:val="31"/>
        </w:rPr>
        <w:t>货车运行里程数见上表</w:t>
      </w:r>
      <w:r>
        <w:rPr>
          <w:rFonts w:hint="eastAsia" w:ascii="宋体" w:hAnsi="宋体" w:eastAsia="宋体" w:cs="宋体"/>
          <w:spacing w:val="3"/>
          <w:sz w:val="31"/>
          <w:szCs w:val="31"/>
          <w:lang w:val="en-US" w:eastAsia="zh-CN"/>
        </w:rPr>
        <w:t>4.1</w:t>
      </w:r>
      <w:r>
        <w:rPr>
          <w:rFonts w:ascii="宋体" w:hAnsi="宋体" w:eastAsia="宋体" w:cs="宋体"/>
          <w:spacing w:val="3"/>
          <w:sz w:val="31"/>
          <w:szCs w:val="31"/>
        </w:rPr>
        <w:t>。</w:t>
      </w:r>
    </w:p>
    <w:p w14:paraId="67FE8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根据上述公式计算得到原辅材料运输能耗结果如下</w:t>
      </w:r>
      <w:r>
        <w:rPr>
          <w:rFonts w:ascii="宋体" w:hAnsi="宋体" w:eastAsia="宋体" w:cs="宋体"/>
          <w:spacing w:val="8"/>
          <w:sz w:val="31"/>
          <w:szCs w:val="31"/>
        </w:rPr>
        <w:t>：</w:t>
      </w:r>
    </w:p>
    <w:p w14:paraId="39C00FF1">
      <w:pPr>
        <w:pStyle w:val="7"/>
        <w:bidi w:val="0"/>
      </w:pPr>
      <w:r>
        <w:t>表4.2  原辅材料运输能源消耗量</w:t>
      </w:r>
    </w:p>
    <w:tbl>
      <w:tblPr>
        <w:tblStyle w:val="17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3297"/>
        <w:gridCol w:w="3167"/>
      </w:tblGrid>
      <w:tr w14:paraId="26AC8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87" w:type="dxa"/>
            <w:vAlign w:val="center"/>
          </w:tcPr>
          <w:p w14:paraId="67CA8079">
            <w:pPr>
              <w:pStyle w:val="7"/>
              <w:bidi w:val="0"/>
              <w:jc w:val="center"/>
            </w:pPr>
            <w:r>
              <w:t>原辅材料名称</w:t>
            </w:r>
          </w:p>
        </w:tc>
        <w:tc>
          <w:tcPr>
            <w:tcW w:w="3297" w:type="dxa"/>
            <w:vAlign w:val="center"/>
          </w:tcPr>
          <w:p w14:paraId="2F90A084">
            <w:pPr>
              <w:pStyle w:val="7"/>
              <w:bidi w:val="0"/>
              <w:jc w:val="center"/>
            </w:pPr>
            <w:r>
              <w:t>柴油消耗量 (升)</w:t>
            </w:r>
          </w:p>
        </w:tc>
        <w:tc>
          <w:tcPr>
            <w:tcW w:w="3167" w:type="dxa"/>
            <w:vAlign w:val="center"/>
          </w:tcPr>
          <w:p w14:paraId="749EA297">
            <w:pPr>
              <w:pStyle w:val="7"/>
              <w:bidi w:val="0"/>
              <w:jc w:val="center"/>
            </w:pPr>
            <w:r>
              <w:t>柴油消耗量 (吨)</w:t>
            </w:r>
          </w:p>
        </w:tc>
      </w:tr>
      <w:tr w14:paraId="55A94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87" w:type="dxa"/>
            <w:vAlign w:val="center"/>
          </w:tcPr>
          <w:p w14:paraId="12F28F3B">
            <w:pPr>
              <w:pStyle w:val="7"/>
              <w:bidi w:val="0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锅毛坯</w:t>
            </w:r>
          </w:p>
        </w:tc>
        <w:tc>
          <w:tcPr>
            <w:tcW w:w="3297" w:type="dxa"/>
            <w:vAlign w:val="center"/>
          </w:tcPr>
          <w:p w14:paraId="6B801B69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35666.928</w:t>
            </w:r>
          </w:p>
        </w:tc>
        <w:tc>
          <w:tcPr>
            <w:tcW w:w="3167" w:type="dxa"/>
            <w:vAlign w:val="center"/>
          </w:tcPr>
          <w:p w14:paraId="24D3C9A8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 xml:space="preserve">29.782 </w:t>
            </w:r>
          </w:p>
        </w:tc>
      </w:tr>
      <w:tr w14:paraId="7E8A3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87" w:type="dxa"/>
            <w:vAlign w:val="center"/>
          </w:tcPr>
          <w:p w14:paraId="2D18BBB4">
            <w:pPr>
              <w:pStyle w:val="7"/>
              <w:bidi w:val="0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白刚玉</w:t>
            </w:r>
          </w:p>
        </w:tc>
        <w:tc>
          <w:tcPr>
            <w:tcW w:w="3297" w:type="dxa"/>
            <w:vAlign w:val="center"/>
          </w:tcPr>
          <w:p w14:paraId="11C14D70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387.504</w:t>
            </w:r>
          </w:p>
        </w:tc>
        <w:tc>
          <w:tcPr>
            <w:tcW w:w="3167" w:type="dxa"/>
            <w:vAlign w:val="center"/>
          </w:tcPr>
          <w:p w14:paraId="724DFD7B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 xml:space="preserve">0.324 </w:t>
            </w:r>
          </w:p>
        </w:tc>
      </w:tr>
      <w:tr w14:paraId="563D1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87" w:type="dxa"/>
            <w:vAlign w:val="center"/>
          </w:tcPr>
          <w:p w14:paraId="102B04B5">
            <w:pPr>
              <w:pStyle w:val="7"/>
              <w:bidi w:val="0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水性涂料</w:t>
            </w:r>
          </w:p>
        </w:tc>
        <w:tc>
          <w:tcPr>
            <w:tcW w:w="3297" w:type="dxa"/>
            <w:vAlign w:val="center"/>
          </w:tcPr>
          <w:p w14:paraId="29CD7DD7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18732.672</w:t>
            </w:r>
          </w:p>
        </w:tc>
        <w:tc>
          <w:tcPr>
            <w:tcW w:w="3167" w:type="dxa"/>
            <w:vAlign w:val="center"/>
          </w:tcPr>
          <w:p w14:paraId="0182A7F3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 xml:space="preserve">15.642 </w:t>
            </w:r>
          </w:p>
        </w:tc>
      </w:tr>
      <w:tr w14:paraId="037FA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87" w:type="dxa"/>
            <w:vAlign w:val="center"/>
          </w:tcPr>
          <w:p w14:paraId="313FAAC9">
            <w:pPr>
              <w:pStyle w:val="7"/>
              <w:bidi w:val="0"/>
              <w:jc w:val="center"/>
              <w:rPr>
                <w:rFonts w:hint="eastAsia"/>
                <w:b w:val="0"/>
                <w:bCs w:val="0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清洗剂</w:t>
            </w:r>
          </w:p>
        </w:tc>
        <w:tc>
          <w:tcPr>
            <w:tcW w:w="3297" w:type="dxa"/>
            <w:vAlign w:val="center"/>
          </w:tcPr>
          <w:p w14:paraId="36AB7E65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>298.08</w:t>
            </w:r>
          </w:p>
        </w:tc>
        <w:tc>
          <w:tcPr>
            <w:tcW w:w="3167" w:type="dxa"/>
            <w:vAlign w:val="center"/>
          </w:tcPr>
          <w:p w14:paraId="21739F94">
            <w:pPr>
              <w:pStyle w:val="7"/>
              <w:bidi w:val="0"/>
              <w:jc w:val="center"/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highlight w:val="none"/>
                <w:lang w:val="en-US" w:eastAsia="zh-CN"/>
              </w:rPr>
              <w:t xml:space="preserve">0.249 </w:t>
            </w:r>
          </w:p>
        </w:tc>
      </w:tr>
    </w:tbl>
    <w:p w14:paraId="448AF0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position w:val="2"/>
          <w:sz w:val="31"/>
          <w:szCs w:val="31"/>
        </w:rPr>
        <w:t>注：柴油密度取</w:t>
      </w:r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>0.8</w:t>
      </w:r>
      <w:r>
        <w:rPr>
          <w:rFonts w:hint="eastAsia" w:ascii="Times New Roman" w:hAnsi="Times New Roman" w:eastAsia="宋体" w:cs="Times New Roman"/>
          <w:spacing w:val="7"/>
          <w:position w:val="2"/>
          <w:sz w:val="31"/>
          <w:szCs w:val="31"/>
          <w:lang w:val="en-US" w:eastAsia="zh-CN"/>
        </w:rPr>
        <w:t>35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6"/>
          <w:position w:val="12"/>
          <w:sz w:val="20"/>
          <w:szCs w:val="20"/>
        </w:rPr>
        <w:t>3</w:t>
      </w:r>
    </w:p>
    <w:p w14:paraId="75EBC8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其中柴</w:t>
      </w:r>
      <w:r>
        <w:rPr>
          <w:rFonts w:ascii="宋体" w:hAnsi="宋体" w:eastAsia="宋体" w:cs="宋体"/>
          <w:spacing w:val="5"/>
          <w:sz w:val="31"/>
          <w:szCs w:val="31"/>
        </w:rPr>
        <w:t>油</w:t>
      </w:r>
      <w:r>
        <w:rPr>
          <w:rFonts w:ascii="宋体" w:hAnsi="宋体" w:eastAsia="宋体" w:cs="宋体"/>
          <w:spacing w:val="3"/>
          <w:sz w:val="31"/>
          <w:szCs w:val="31"/>
        </w:rPr>
        <w:t>排放因子为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3. 145</w:t>
      </w:r>
      <w:r>
        <w:rPr>
          <w:rFonts w:ascii="Times New Roman" w:hAnsi="Times New Roman" w:eastAsia="Times New Roman" w:cs="Times New Roman"/>
          <w:sz w:val="31"/>
          <w:szCs w:val="31"/>
        </w:rPr>
        <w:t>tCO</w:t>
      </w:r>
      <w:r>
        <w:rPr>
          <w:rFonts w:ascii="Times New Roman" w:hAnsi="Times New Roman" w:eastAsia="Times New Roman" w:cs="Times New Roman"/>
          <w:spacing w:val="3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宋体" w:hAnsi="宋体" w:eastAsia="宋体" w:cs="宋体"/>
          <w:spacing w:val="3"/>
          <w:sz w:val="31"/>
          <w:szCs w:val="31"/>
        </w:rPr>
        <w:t>，柴油使用带来的二氧化碳</w:t>
      </w:r>
      <w:r>
        <w:rPr>
          <w:rFonts w:ascii="宋体" w:hAnsi="宋体" w:eastAsia="宋体" w:cs="宋体"/>
          <w:spacing w:val="7"/>
          <w:sz w:val="31"/>
          <w:szCs w:val="31"/>
        </w:rPr>
        <w:t>排</w:t>
      </w:r>
      <w:r>
        <w:rPr>
          <w:rFonts w:ascii="宋体" w:hAnsi="宋体" w:eastAsia="宋体" w:cs="宋体"/>
          <w:spacing w:val="5"/>
          <w:sz w:val="31"/>
          <w:szCs w:val="31"/>
        </w:rPr>
        <w:t>放量</w:t>
      </w:r>
      <w:r>
        <w:rPr>
          <w:rFonts w:ascii="宋体" w:hAnsi="宋体" w:eastAsia="宋体" w:cs="宋体"/>
          <w:spacing w:val="5"/>
          <w:sz w:val="31"/>
          <w:szCs w:val="31"/>
          <w:highlight w:val="none"/>
        </w:rPr>
        <w:t>为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highlight w:val="none"/>
          <w:lang w:val="en-US" w:eastAsia="zh-CN"/>
        </w:rPr>
        <w:t>144.658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 w14:paraId="2A5B85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通</w:t>
      </w:r>
      <w:r>
        <w:rPr>
          <w:rFonts w:ascii="宋体" w:hAnsi="宋体" w:eastAsia="宋体" w:cs="宋体"/>
          <w:spacing w:val="17"/>
          <w:sz w:val="31"/>
          <w:szCs w:val="31"/>
        </w:rPr>
        <w:t>过核算，前端原辅材料获取过程中二氧化碳排放总计为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highlight w:val="none"/>
          <w:lang w:val="en-US" w:eastAsia="zh-CN"/>
        </w:rPr>
        <w:t>144.658</w:t>
      </w:r>
      <w:r>
        <w:rPr>
          <w:rFonts w:ascii="宋体" w:hAnsi="宋体" w:eastAsia="宋体" w:cs="宋体"/>
          <w:spacing w:val="3"/>
          <w:sz w:val="31"/>
          <w:szCs w:val="31"/>
        </w:rPr>
        <w:t>吨。</w:t>
      </w:r>
    </w:p>
    <w:p w14:paraId="48355B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36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29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spacing w:val="29"/>
          <w:sz w:val="31"/>
          <w:szCs w:val="31"/>
          <w:lang w:val="en-US" w:eastAsia="zh-CN"/>
        </w:rPr>
        <w:t>二</w:t>
      </w:r>
      <w:r>
        <w:rPr>
          <w:rFonts w:hint="eastAsia" w:ascii="宋体" w:hAnsi="宋体" w:eastAsia="宋体" w:cs="宋体"/>
          <w:spacing w:val="29"/>
          <w:sz w:val="31"/>
          <w:szCs w:val="31"/>
          <w:lang w:eastAsia="zh-CN"/>
        </w:rPr>
        <w:t>）</w:t>
      </w:r>
      <w:r>
        <w:rPr>
          <w:rFonts w:ascii="宋体" w:hAnsi="宋体" w:eastAsia="宋体" w:cs="宋体"/>
          <w:spacing w:val="29"/>
          <w:sz w:val="31"/>
          <w:szCs w:val="31"/>
        </w:rPr>
        <w:t>生产</w:t>
      </w:r>
    </w:p>
    <w:p w14:paraId="0A4E13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-10"/>
          <w:sz w:val="31"/>
          <w:szCs w:val="31"/>
          <w:lang w:eastAsia="zh-CN"/>
        </w:rPr>
        <w:t xml:space="preserve">嘉兴苏古德塑业股份有限公司 </w:t>
      </w:r>
      <w:r>
        <w:rPr>
          <w:rFonts w:ascii="宋体" w:hAnsi="宋体" w:eastAsia="宋体" w:cs="宋体"/>
          <w:spacing w:val="-5"/>
          <w:sz w:val="31"/>
          <w:szCs w:val="31"/>
        </w:rPr>
        <w:t>在生产过程中，二氧化</w:t>
      </w:r>
      <w:r>
        <w:rPr>
          <w:rFonts w:ascii="宋体" w:hAnsi="宋体" w:eastAsia="宋体" w:cs="宋体"/>
          <w:spacing w:val="-10"/>
          <w:sz w:val="31"/>
          <w:szCs w:val="31"/>
        </w:rPr>
        <w:t>碳排</w:t>
      </w:r>
      <w:r>
        <w:rPr>
          <w:rFonts w:ascii="宋体" w:hAnsi="宋体" w:eastAsia="宋体" w:cs="宋体"/>
          <w:spacing w:val="-7"/>
          <w:sz w:val="31"/>
          <w:szCs w:val="31"/>
        </w:rPr>
        <w:t>放</w:t>
      </w:r>
      <w:r>
        <w:rPr>
          <w:rFonts w:ascii="宋体" w:hAnsi="宋体" w:eastAsia="宋体" w:cs="宋体"/>
          <w:spacing w:val="-5"/>
          <w:sz w:val="31"/>
          <w:szCs w:val="31"/>
        </w:rPr>
        <w:t>包含生产过程中消耗电力排放和热力排放，废水排放暂不</w:t>
      </w:r>
      <w:r>
        <w:rPr>
          <w:rFonts w:hint="eastAsia" w:ascii="宋体" w:hAnsi="宋体" w:eastAsia="宋体" w:cs="宋体"/>
          <w:spacing w:val="-5"/>
          <w:sz w:val="31"/>
          <w:szCs w:val="31"/>
          <w:lang w:val="en-US" w:eastAsia="zh-CN"/>
        </w:rPr>
        <w:t>计算</w:t>
      </w:r>
      <w:r>
        <w:rPr>
          <w:rFonts w:ascii="宋体" w:hAnsi="宋体" w:eastAsia="宋体" w:cs="宋体"/>
          <w:position w:val="2"/>
          <w:sz w:val="31"/>
          <w:szCs w:val="31"/>
        </w:rPr>
        <w:t>。</w:t>
      </w:r>
    </w:p>
    <w:p w14:paraId="6DCCCBC5">
      <w:pPr>
        <w:pStyle w:val="7"/>
        <w:bidi w:val="0"/>
        <w:rPr>
          <w:rFonts w:ascii="宋体" w:hAnsi="宋体" w:eastAsia="宋体" w:cs="宋体"/>
          <w:szCs w:val="28"/>
        </w:rPr>
      </w:pPr>
      <w:r>
        <w:t>表4.3    生产过程中能源消耗量</w:t>
      </w:r>
    </w:p>
    <w:tbl>
      <w:tblPr>
        <w:tblStyle w:val="1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6"/>
        <w:gridCol w:w="3178"/>
      </w:tblGrid>
      <w:tr w14:paraId="224F7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88" w:type="pct"/>
            <w:vAlign w:val="center"/>
          </w:tcPr>
          <w:p w14:paraId="5DC0C1BD">
            <w:pPr>
              <w:pStyle w:val="7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排放源类别</w:t>
            </w:r>
          </w:p>
        </w:tc>
        <w:tc>
          <w:tcPr>
            <w:tcW w:w="1911" w:type="pct"/>
            <w:vAlign w:val="center"/>
          </w:tcPr>
          <w:p w14:paraId="337722D4">
            <w:pPr>
              <w:pStyle w:val="7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 xml:space="preserve"> 排放量 (tCO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 xml:space="preserve"> e )</w:t>
            </w:r>
          </w:p>
        </w:tc>
      </w:tr>
      <w:tr w14:paraId="5F8CA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88" w:type="pct"/>
            <w:vAlign w:val="center"/>
          </w:tcPr>
          <w:p w14:paraId="3FA83A68">
            <w:pPr>
              <w:pStyle w:val="7"/>
              <w:bidi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化石燃料燃烧CO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排放</w:t>
            </w:r>
          </w:p>
        </w:tc>
        <w:tc>
          <w:tcPr>
            <w:tcW w:w="1911" w:type="pct"/>
            <w:vAlign w:val="center"/>
          </w:tcPr>
          <w:p w14:paraId="0A89E6E6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14:paraId="76EB4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088" w:type="pct"/>
            <w:vAlign w:val="center"/>
          </w:tcPr>
          <w:p w14:paraId="30CD09A1">
            <w:pPr>
              <w:pStyle w:val="7"/>
              <w:bidi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工业生产过程CO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排放</w:t>
            </w:r>
          </w:p>
        </w:tc>
        <w:tc>
          <w:tcPr>
            <w:tcW w:w="1911" w:type="pct"/>
            <w:vAlign w:val="center"/>
          </w:tcPr>
          <w:p w14:paraId="312AA2B4">
            <w:pPr>
              <w:pStyle w:val="7"/>
              <w:bidi w:val="0"/>
              <w:jc w:val="center"/>
              <w:rPr>
                <w:rFonts w:hint="default" w:eastAsia="楷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 w14:paraId="7E8CE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88" w:type="pct"/>
            <w:vAlign w:val="center"/>
          </w:tcPr>
          <w:p w14:paraId="05B16BC1">
            <w:pPr>
              <w:pStyle w:val="7"/>
              <w:bidi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工业生产过程N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O排放</w:t>
            </w:r>
          </w:p>
        </w:tc>
        <w:tc>
          <w:tcPr>
            <w:tcW w:w="1911" w:type="pct"/>
            <w:vAlign w:val="center"/>
          </w:tcPr>
          <w:p w14:paraId="0648FB10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14:paraId="79A0C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88" w:type="pct"/>
            <w:vAlign w:val="center"/>
          </w:tcPr>
          <w:p w14:paraId="3DD65896">
            <w:pPr>
              <w:pStyle w:val="7"/>
              <w:bidi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 xml:space="preserve"> 回收利用量</w:t>
            </w:r>
          </w:p>
        </w:tc>
        <w:tc>
          <w:tcPr>
            <w:tcW w:w="1911" w:type="pct"/>
            <w:vAlign w:val="center"/>
          </w:tcPr>
          <w:p w14:paraId="7A6C0D52">
            <w:pPr>
              <w:pStyle w:val="7"/>
              <w:bidi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14:paraId="1ABC6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88" w:type="pct"/>
            <w:vAlign w:val="center"/>
          </w:tcPr>
          <w:p w14:paraId="20587709">
            <w:pPr>
              <w:pStyle w:val="7"/>
              <w:bidi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净购入电力和热力消费引起的CO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排放</w:t>
            </w:r>
          </w:p>
        </w:tc>
        <w:tc>
          <w:tcPr>
            <w:tcW w:w="1911" w:type="pct"/>
            <w:vAlign w:val="center"/>
          </w:tcPr>
          <w:p w14:paraId="53F4E709">
            <w:pPr>
              <w:pStyle w:val="7"/>
              <w:bidi w:val="0"/>
              <w:jc w:val="center"/>
              <w:rPr>
                <w:rFonts w:hint="default" w:eastAsia="楷体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1422.6366</w:t>
            </w:r>
          </w:p>
        </w:tc>
      </w:tr>
      <w:tr w14:paraId="2D303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88" w:type="pct"/>
            <w:vAlign w:val="center"/>
          </w:tcPr>
          <w:p w14:paraId="4D1F7D8C">
            <w:pPr>
              <w:pStyle w:val="7"/>
              <w:bidi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企业温室气体排放总量 (吨CO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 xml:space="preserve"> 当量)</w:t>
            </w:r>
          </w:p>
        </w:tc>
        <w:tc>
          <w:tcPr>
            <w:tcW w:w="1911" w:type="pct"/>
            <w:vAlign w:val="center"/>
          </w:tcPr>
          <w:p w14:paraId="1C4FCEBC">
            <w:pPr>
              <w:pStyle w:val="7"/>
              <w:bidi w:val="0"/>
              <w:jc w:val="center"/>
              <w:rPr>
                <w:rFonts w:hint="eastAsia" w:eastAsia="楷体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1422.6366</w:t>
            </w:r>
          </w:p>
        </w:tc>
      </w:tr>
    </w:tbl>
    <w:p w14:paraId="039E68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通过核算</w:t>
      </w:r>
      <w:r>
        <w:rPr>
          <w:rFonts w:ascii="宋体" w:hAnsi="宋体" w:eastAsia="宋体" w:cs="宋体"/>
          <w:spacing w:val="6"/>
          <w:sz w:val="31"/>
          <w:szCs w:val="31"/>
        </w:rPr>
        <w:t>，</w:t>
      </w:r>
      <w:r>
        <w:rPr>
          <w:rFonts w:ascii="宋体" w:hAnsi="宋体" w:eastAsia="宋体" w:cs="宋体"/>
          <w:spacing w:val="4"/>
          <w:sz w:val="31"/>
          <w:szCs w:val="31"/>
        </w:rPr>
        <w:t>生产过程中产生二氧化碳排放为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  <w:lang w:val="en-US" w:eastAsia="zh-CN"/>
        </w:rPr>
        <w:t>2775.34</w:t>
      </w:r>
      <w:r>
        <w:rPr>
          <w:rFonts w:ascii="宋体" w:hAnsi="宋体" w:eastAsia="宋体" w:cs="宋体"/>
          <w:spacing w:val="4"/>
          <w:sz w:val="31"/>
          <w:szCs w:val="31"/>
        </w:rPr>
        <w:t>吨。</w:t>
      </w:r>
    </w:p>
    <w:p w14:paraId="7CE24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40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30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1"/>
          <w:szCs w:val="31"/>
          <w:lang w:val="en-US" w:eastAsia="zh-CN"/>
        </w:rPr>
        <w:t>三</w:t>
      </w:r>
      <w:r>
        <w:rPr>
          <w:rFonts w:hint="eastAsia" w:ascii="宋体" w:hAnsi="宋体" w:eastAsia="宋体" w:cs="宋体"/>
          <w:spacing w:val="30"/>
          <w:sz w:val="31"/>
          <w:szCs w:val="31"/>
          <w:lang w:eastAsia="zh-CN"/>
        </w:rPr>
        <w:t>）</w:t>
      </w:r>
      <w:r>
        <w:rPr>
          <w:rFonts w:ascii="宋体" w:hAnsi="宋体" w:eastAsia="宋体" w:cs="宋体"/>
          <w:spacing w:val="24"/>
          <w:sz w:val="31"/>
          <w:szCs w:val="31"/>
        </w:rPr>
        <w:t>产品运输</w:t>
      </w:r>
    </w:p>
    <w:p w14:paraId="647CF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ascii="Times New Roman" w:hAnsi="Times New Roman" w:eastAsia="宋体" w:cs="宋体"/>
          <w:sz w:val="31"/>
          <w:szCs w:val="31"/>
          <w:highlight w:val="none"/>
        </w:rPr>
      </w:pPr>
      <w:r>
        <w:rPr>
          <w:rFonts w:ascii="Times New Roman" w:hAnsi="Times New Roman" w:eastAsia="宋体" w:cs="宋体"/>
          <w:spacing w:val="15"/>
          <w:sz w:val="31"/>
          <w:szCs w:val="31"/>
          <w:highlight w:val="none"/>
        </w:rPr>
        <w:t>公司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highlight w:val="none"/>
        </w:rPr>
        <w:t>202</w:t>
      </w:r>
      <w:r>
        <w:rPr>
          <w:rFonts w:hint="eastAsia" w:ascii="Times New Roman" w:hAnsi="Times New Roman" w:eastAsia="宋体" w:cs="Times New Roman"/>
          <w:spacing w:val="15"/>
          <w:sz w:val="31"/>
          <w:szCs w:val="31"/>
          <w:highlight w:val="none"/>
          <w:lang w:val="en-US" w:eastAsia="zh-CN"/>
        </w:rPr>
        <w:t>3</w:t>
      </w:r>
      <w:r>
        <w:rPr>
          <w:rFonts w:ascii="Times New Roman" w:hAnsi="Times New Roman" w:eastAsia="宋体" w:cs="宋体"/>
          <w:spacing w:val="15"/>
          <w:sz w:val="31"/>
          <w:szCs w:val="31"/>
          <w:highlight w:val="none"/>
        </w:rPr>
        <w:t>年发车次数约</w:t>
      </w:r>
      <w:r>
        <w:rPr>
          <w:rFonts w:ascii="Times New Roman" w:hAnsi="Times New Roman" w:eastAsia="宋体" w:cs="宋体"/>
          <w:spacing w:val="-1"/>
          <w:sz w:val="31"/>
          <w:szCs w:val="31"/>
          <w:highlight w:val="none"/>
        </w:rPr>
        <w:t>为</w:t>
      </w:r>
      <w:r>
        <w:rPr>
          <w:rFonts w:hint="eastAsia" w:ascii="Times New Roman" w:hAnsi="Times New Roman" w:eastAsia="宋体" w:cs="宋体"/>
          <w:spacing w:val="-1"/>
          <w:sz w:val="31"/>
          <w:szCs w:val="31"/>
          <w:highlight w:val="none"/>
          <w:lang w:val="en-US" w:eastAsia="zh-CN"/>
        </w:rPr>
        <w:t>1168</w:t>
      </w:r>
      <w:r>
        <w:rPr>
          <w:rFonts w:ascii="Times New Roman" w:hAnsi="Times New Roman" w:eastAsia="宋体" w:cs="宋体"/>
          <w:sz w:val="31"/>
          <w:szCs w:val="31"/>
          <w:highlight w:val="none"/>
        </w:rPr>
        <w:t>次，按工厂平均辐射</w:t>
      </w:r>
      <w:r>
        <w:rPr>
          <w:rFonts w:hint="eastAsia" w:ascii="Times New Roman" w:hAnsi="Times New Roman" w:eastAsia="宋体" w:cs="Times New Roman"/>
          <w:sz w:val="31"/>
          <w:szCs w:val="31"/>
          <w:highlight w:val="none"/>
          <w:lang w:val="en-US" w:eastAsia="zh-CN"/>
        </w:rPr>
        <w:t>121.6</w:t>
      </w:r>
      <w:r>
        <w:rPr>
          <w:rFonts w:ascii="Times New Roman" w:hAnsi="Times New Roman" w:eastAsia="Times New Roman" w:cs="Times New Roman"/>
          <w:sz w:val="31"/>
          <w:szCs w:val="31"/>
          <w:highlight w:val="none"/>
        </w:rPr>
        <w:t xml:space="preserve"> </w:t>
      </w:r>
      <w:r>
        <w:rPr>
          <w:rFonts w:ascii="Times New Roman" w:hAnsi="Times New Roman" w:eastAsia="宋体" w:cs="宋体"/>
          <w:sz w:val="31"/>
          <w:szCs w:val="31"/>
          <w:highlight w:val="none"/>
        </w:rPr>
        <w:t>公里发运半径，货车百公里油耗</w:t>
      </w:r>
      <w:r>
        <w:rPr>
          <w:rFonts w:ascii="Times New Roman" w:hAnsi="Times New Roman" w:eastAsia="宋体" w:cs="宋体"/>
          <w:spacing w:val="-8"/>
          <w:sz w:val="31"/>
          <w:szCs w:val="31"/>
          <w:highlight w:val="none"/>
        </w:rPr>
        <w:t>为</w:t>
      </w:r>
      <w:r>
        <w:rPr>
          <w:rFonts w:ascii="Times New Roman" w:hAnsi="Times New Roman" w:eastAsia="Times New Roman" w:cs="Times New Roman"/>
          <w:spacing w:val="-8"/>
          <w:sz w:val="31"/>
          <w:szCs w:val="31"/>
          <w:highlight w:val="none"/>
        </w:rPr>
        <w:t xml:space="preserve">27.6 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highlight w:val="none"/>
        </w:rPr>
        <w:t xml:space="preserve"> </w:t>
      </w:r>
      <w:r>
        <w:rPr>
          <w:rFonts w:ascii="Times New Roman" w:hAnsi="Times New Roman" w:eastAsia="宋体" w:cs="宋体"/>
          <w:spacing w:val="-4"/>
          <w:sz w:val="31"/>
          <w:szCs w:val="31"/>
          <w:highlight w:val="none"/>
        </w:rPr>
        <w:t>(升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highlight w:val="none"/>
        </w:rPr>
        <w:t>/</w:t>
      </w:r>
      <w:r>
        <w:rPr>
          <w:rFonts w:ascii="Times New Roman" w:hAnsi="Times New Roman" w:eastAsia="宋体" w:cs="宋体"/>
          <w:spacing w:val="-4"/>
          <w:sz w:val="31"/>
          <w:szCs w:val="31"/>
          <w:highlight w:val="none"/>
        </w:rPr>
        <w:t>百公里) 。根据上述公式计算得到产品运输柴油消耗量</w:t>
      </w:r>
      <w:r>
        <w:rPr>
          <w:rFonts w:ascii="Times New Roman" w:hAnsi="Times New Roman" w:eastAsia="宋体" w:cs="宋体"/>
          <w:spacing w:val="-5"/>
          <w:position w:val="2"/>
          <w:sz w:val="31"/>
          <w:szCs w:val="31"/>
          <w:highlight w:val="none"/>
        </w:rPr>
        <w:t>为</w:t>
      </w:r>
      <w:r>
        <w:rPr>
          <w:rFonts w:hint="eastAsia" w:ascii="Times New Roman" w:hAnsi="Times New Roman" w:eastAsia="Times New Roman" w:cs="Times New Roman"/>
          <w:spacing w:val="-5"/>
          <w:position w:val="2"/>
          <w:sz w:val="31"/>
          <w:szCs w:val="31"/>
          <w:highlight w:val="none"/>
        </w:rPr>
        <w:t>39199.94</w:t>
      </w:r>
      <w:r>
        <w:rPr>
          <w:rFonts w:hint="eastAsia" w:ascii="Times New Roman" w:hAnsi="Times New Roman" w:eastAsia="宋体" w:cs="Times New Roman"/>
          <w:spacing w:val="-5"/>
          <w:position w:val="2"/>
          <w:sz w:val="31"/>
          <w:szCs w:val="31"/>
          <w:highlight w:val="none"/>
          <w:lang w:val="en-US" w:eastAsia="zh-CN"/>
        </w:rPr>
        <w:t>9</w:t>
      </w:r>
      <w:r>
        <w:rPr>
          <w:rFonts w:ascii="Times New Roman" w:hAnsi="Times New Roman" w:eastAsia="宋体" w:cs="宋体"/>
          <w:spacing w:val="-5"/>
          <w:position w:val="2"/>
          <w:sz w:val="31"/>
          <w:szCs w:val="31"/>
          <w:highlight w:val="none"/>
        </w:rPr>
        <w:t>升，折算为</w:t>
      </w:r>
      <w:r>
        <w:rPr>
          <w:rFonts w:hint="eastAsia" w:ascii="Times New Roman" w:hAnsi="Times New Roman" w:eastAsia="Times New Roman" w:cs="Times New Roman"/>
          <w:spacing w:val="-5"/>
          <w:position w:val="2"/>
          <w:sz w:val="31"/>
          <w:szCs w:val="31"/>
          <w:highlight w:val="none"/>
        </w:rPr>
        <w:t>102.942</w:t>
      </w:r>
      <w:r>
        <w:rPr>
          <w:rFonts w:ascii="Times New Roman" w:hAnsi="Times New Roman" w:eastAsia="宋体" w:cs="宋体"/>
          <w:spacing w:val="-5"/>
          <w:position w:val="2"/>
          <w:sz w:val="31"/>
          <w:szCs w:val="31"/>
          <w:highlight w:val="none"/>
        </w:rPr>
        <w:t>吨。柴油排放因子为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  <w:highlight w:val="none"/>
        </w:rPr>
        <w:t>3. 145 tCO</w:t>
      </w:r>
      <w:r>
        <w:rPr>
          <w:rFonts w:ascii="Times New Roman" w:hAnsi="Times New Roman" w:eastAsia="Times New Roman" w:cs="Times New Roman"/>
          <w:spacing w:val="-5"/>
          <w:sz w:val="20"/>
          <w:szCs w:val="20"/>
          <w:highlight w:val="none"/>
        </w:rPr>
        <w:t>2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  <w:highlight w:val="none"/>
        </w:rPr>
        <w:t>/</w:t>
      </w: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  <w:highlight w:val="none"/>
        </w:rPr>
        <w:t>t</w:t>
      </w:r>
      <w:r>
        <w:rPr>
          <w:rFonts w:ascii="Times New Roman" w:hAnsi="Times New Roman" w:eastAsia="宋体" w:cs="宋体"/>
          <w:spacing w:val="-5"/>
          <w:position w:val="2"/>
          <w:sz w:val="31"/>
          <w:szCs w:val="31"/>
          <w:highlight w:val="none"/>
        </w:rPr>
        <w:t>。</w:t>
      </w:r>
    </w:p>
    <w:p w14:paraId="16DA8B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通</w:t>
      </w:r>
      <w:r>
        <w:rPr>
          <w:rFonts w:ascii="宋体" w:hAnsi="宋体" w:eastAsia="宋体" w:cs="宋体"/>
          <w:spacing w:val="13"/>
          <w:sz w:val="31"/>
          <w:szCs w:val="31"/>
        </w:rPr>
        <w:t>过</w:t>
      </w:r>
      <w:r>
        <w:rPr>
          <w:rFonts w:ascii="宋体" w:hAnsi="宋体" w:eastAsia="宋体" w:cs="宋体"/>
          <w:spacing w:val="8"/>
          <w:sz w:val="31"/>
          <w:szCs w:val="31"/>
        </w:rPr>
        <w:t>核算，产品运输过程中产生二氧化碳排放为</w:t>
      </w:r>
      <w:r>
        <w:rPr>
          <w:rFonts w:hint="eastAsia" w:ascii="Times New Roman" w:hAnsi="Times New Roman" w:eastAsia="Times New Roman" w:cs="Times New Roman"/>
          <w:spacing w:val="8"/>
          <w:sz w:val="31"/>
          <w:szCs w:val="31"/>
          <w:highlight w:val="none"/>
        </w:rPr>
        <w:t>102.942</w:t>
      </w:r>
      <w:r>
        <w:rPr>
          <w:rFonts w:ascii="宋体" w:hAnsi="宋体" w:eastAsia="宋体" w:cs="宋体"/>
          <w:spacing w:val="8"/>
          <w:sz w:val="31"/>
          <w:szCs w:val="31"/>
        </w:rPr>
        <w:t>吨。</w:t>
      </w:r>
    </w:p>
    <w:p w14:paraId="404D70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21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spacing w:val="21"/>
          <w:sz w:val="31"/>
          <w:szCs w:val="31"/>
          <w:lang w:val="en-US" w:eastAsia="zh-CN"/>
        </w:rPr>
        <w:t>四</w:t>
      </w:r>
      <w:r>
        <w:rPr>
          <w:rFonts w:hint="eastAsia" w:ascii="宋体" w:hAnsi="宋体" w:eastAsia="宋体" w:cs="宋体"/>
          <w:spacing w:val="21"/>
          <w:sz w:val="31"/>
          <w:szCs w:val="31"/>
          <w:lang w:eastAsia="zh-CN"/>
        </w:rPr>
        <w:t>）</w:t>
      </w:r>
      <w:r>
        <w:rPr>
          <w:rFonts w:ascii="宋体" w:hAnsi="宋体" w:eastAsia="宋体" w:cs="宋体"/>
          <w:spacing w:val="19"/>
          <w:sz w:val="31"/>
          <w:szCs w:val="31"/>
        </w:rPr>
        <w:t>后期处理和末期处置</w:t>
      </w:r>
    </w:p>
    <w:p w14:paraId="35D8BF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根</w:t>
      </w:r>
      <w:r>
        <w:rPr>
          <w:rFonts w:ascii="宋体" w:hAnsi="宋体" w:eastAsia="宋体" w:cs="宋体"/>
          <w:spacing w:val="-7"/>
          <w:sz w:val="31"/>
          <w:szCs w:val="31"/>
        </w:rPr>
        <w:t>据</w:t>
      </w:r>
      <w:r>
        <w:rPr>
          <w:rFonts w:hint="eastAsia" w:ascii="宋体" w:hAnsi="宋体" w:eastAsia="宋体" w:cs="宋体"/>
          <w:spacing w:val="-5"/>
          <w:sz w:val="31"/>
          <w:szCs w:val="31"/>
          <w:lang w:eastAsia="zh-CN"/>
        </w:rPr>
        <w:t xml:space="preserve">嘉兴苏古德塑业股份有限公司 </w:t>
      </w:r>
      <w:r>
        <w:rPr>
          <w:rFonts w:ascii="宋体" w:hAnsi="宋体" w:eastAsia="宋体" w:cs="宋体"/>
          <w:spacing w:val="-5"/>
          <w:sz w:val="31"/>
          <w:szCs w:val="31"/>
        </w:rPr>
        <w:t>生产工艺，产品在</w:t>
      </w:r>
      <w:r>
        <w:rPr>
          <w:rFonts w:ascii="宋体" w:hAnsi="宋体" w:eastAsia="宋体" w:cs="宋体"/>
          <w:spacing w:val="-16"/>
          <w:sz w:val="31"/>
          <w:szCs w:val="31"/>
        </w:rPr>
        <w:t>使用报废后后期报废数据部分排放难以监测，本报告中未对该部分进</w:t>
      </w:r>
      <w:r>
        <w:rPr>
          <w:rFonts w:ascii="宋体" w:hAnsi="宋体" w:eastAsia="宋体" w:cs="宋体"/>
          <w:spacing w:val="1"/>
          <w:sz w:val="31"/>
          <w:szCs w:val="31"/>
        </w:rPr>
        <w:t>行报告。</w:t>
      </w:r>
    </w:p>
    <w:p w14:paraId="5DB816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32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28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spacing w:val="28"/>
          <w:sz w:val="31"/>
          <w:szCs w:val="31"/>
          <w:lang w:val="en-US" w:eastAsia="zh-CN"/>
        </w:rPr>
        <w:t>五</w:t>
      </w:r>
      <w:r>
        <w:rPr>
          <w:rFonts w:hint="eastAsia" w:ascii="宋体" w:hAnsi="宋体" w:eastAsia="宋体" w:cs="宋体"/>
          <w:spacing w:val="28"/>
          <w:sz w:val="31"/>
          <w:szCs w:val="31"/>
          <w:lang w:eastAsia="zh-CN"/>
        </w:rPr>
        <w:t>）</w:t>
      </w:r>
      <w:r>
        <w:rPr>
          <w:rFonts w:ascii="宋体" w:hAnsi="宋体" w:eastAsia="宋体" w:cs="宋体"/>
          <w:spacing w:val="20"/>
          <w:sz w:val="31"/>
          <w:szCs w:val="31"/>
        </w:rPr>
        <w:t>单位产品碳足迹</w:t>
      </w:r>
    </w:p>
    <w:p w14:paraId="77463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根</w:t>
      </w:r>
      <w:r>
        <w:rPr>
          <w:rFonts w:ascii="宋体" w:hAnsi="宋体" w:eastAsia="宋体" w:cs="宋体"/>
          <w:spacing w:val="6"/>
          <w:sz w:val="31"/>
          <w:szCs w:val="31"/>
        </w:rPr>
        <w:t>据</w:t>
      </w:r>
      <w:r>
        <w:rPr>
          <w:rFonts w:ascii="宋体" w:hAnsi="宋体" w:eastAsia="宋体" w:cs="宋体"/>
          <w:spacing w:val="4"/>
          <w:sz w:val="31"/>
          <w:szCs w:val="31"/>
        </w:rPr>
        <w:t>上文叙述，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4"/>
          <w:sz w:val="31"/>
          <w:szCs w:val="31"/>
        </w:rPr>
        <w:t>年度</w:t>
      </w:r>
      <w:r>
        <w:rPr>
          <w:rFonts w:hint="eastAsia" w:ascii="宋体" w:hAnsi="宋体" w:eastAsia="宋体" w:cs="宋体"/>
          <w:spacing w:val="4"/>
          <w:sz w:val="31"/>
          <w:szCs w:val="31"/>
          <w:lang w:eastAsia="zh-CN"/>
        </w:rPr>
        <w:t xml:space="preserve">嘉兴苏古德塑业股份有限公司 </w:t>
      </w:r>
      <w:r>
        <w:rPr>
          <w:rFonts w:ascii="宋体" w:hAnsi="宋体" w:eastAsia="宋体" w:cs="宋体"/>
          <w:spacing w:val="8"/>
          <w:sz w:val="31"/>
          <w:szCs w:val="31"/>
        </w:rPr>
        <w:t>产品碳足</w:t>
      </w:r>
      <w:r>
        <w:rPr>
          <w:rFonts w:ascii="宋体" w:hAnsi="宋体" w:eastAsia="宋体" w:cs="宋体"/>
          <w:spacing w:val="8"/>
          <w:sz w:val="31"/>
          <w:szCs w:val="31"/>
          <w:highlight w:val="none"/>
        </w:rPr>
        <w:t>迹为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highlight w:val="none"/>
          <w:lang w:val="en-US" w:eastAsia="zh-CN"/>
        </w:rPr>
        <w:t>1670.236</w:t>
      </w:r>
      <w:r>
        <w:rPr>
          <w:rFonts w:ascii="宋体" w:hAnsi="宋体" w:eastAsia="宋体" w:cs="宋体"/>
          <w:spacing w:val="8"/>
          <w:sz w:val="31"/>
          <w:szCs w:val="31"/>
          <w:highlight w:val="none"/>
        </w:rPr>
        <w:t>吨二氧化碳，产品产量为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highlight w:val="none"/>
          <w:lang w:val="en-US" w:eastAsia="zh-CN"/>
        </w:rPr>
        <w:t>1785.5万只</w:t>
      </w:r>
      <w:r>
        <w:rPr>
          <w:rFonts w:ascii="宋体" w:hAnsi="宋体" w:eastAsia="宋体" w:cs="宋体"/>
          <w:spacing w:val="-7"/>
          <w:sz w:val="31"/>
          <w:szCs w:val="31"/>
          <w:highlight w:val="none"/>
        </w:rPr>
        <w:t>。</w:t>
      </w:r>
      <w:r>
        <w:rPr>
          <w:rFonts w:ascii="宋体" w:hAnsi="宋体" w:eastAsia="宋体" w:cs="宋体"/>
          <w:spacing w:val="-6"/>
          <w:sz w:val="31"/>
          <w:szCs w:val="31"/>
          <w:highlight w:val="none"/>
        </w:rPr>
        <w:t>经核算，单位产品碳足迹为</w:t>
      </w:r>
      <w:bookmarkStart w:id="1" w:name="_GoBack"/>
      <w:r>
        <w:rPr>
          <w:rFonts w:hint="eastAsia" w:ascii="Times New Roman" w:hAnsi="Times New Roman" w:eastAsia="宋体" w:cs="Times New Roman"/>
          <w:spacing w:val="-6"/>
          <w:sz w:val="31"/>
          <w:szCs w:val="31"/>
          <w:highlight w:val="none"/>
          <w:lang w:val="en-US" w:eastAsia="zh-CN"/>
        </w:rPr>
        <w:t>0.935</w:t>
      </w:r>
      <w:bookmarkEnd w:id="1"/>
      <w:r>
        <w:rPr>
          <w:rFonts w:ascii="Times New Roman" w:hAnsi="Times New Roman" w:eastAsia="Times New Roman" w:cs="Times New Roman"/>
          <w:spacing w:val="-6"/>
          <w:sz w:val="31"/>
          <w:szCs w:val="31"/>
          <w:highlight w:val="none"/>
        </w:rPr>
        <w:t>tCO</w:t>
      </w:r>
      <w:r>
        <w:rPr>
          <w:rFonts w:ascii="Times New Roman" w:hAnsi="Times New Roman" w:eastAsia="Times New Roman" w:cs="Times New Roman"/>
          <w:spacing w:val="-6"/>
          <w:position w:val="-2"/>
          <w:sz w:val="20"/>
          <w:szCs w:val="20"/>
          <w:highlight w:val="none"/>
        </w:rPr>
        <w:t>2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highlight w:val="none"/>
        </w:rPr>
        <w:t>/</w:t>
      </w:r>
      <w:r>
        <w:rPr>
          <w:rFonts w:hint="eastAsia" w:ascii="宋体" w:hAnsi="宋体" w:eastAsia="宋体" w:cs="宋体"/>
          <w:spacing w:val="-6"/>
          <w:sz w:val="31"/>
          <w:szCs w:val="31"/>
          <w:highlight w:val="none"/>
          <w:lang w:val="en-US" w:eastAsia="zh-CN"/>
        </w:rPr>
        <w:t>万只</w:t>
      </w:r>
      <w:r>
        <w:rPr>
          <w:rFonts w:ascii="宋体" w:hAnsi="宋体" w:eastAsia="宋体" w:cs="宋体"/>
          <w:spacing w:val="-6"/>
          <w:sz w:val="31"/>
          <w:szCs w:val="31"/>
          <w:highlight w:val="none"/>
        </w:rPr>
        <w:t>。</w:t>
      </w:r>
    </w:p>
    <w:sectPr>
      <w:pgSz w:w="11910" w:h="16840"/>
      <w:pgMar w:top="1440" w:right="1800" w:bottom="1440" w:left="1800" w:header="1134" w:footer="11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FD3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E334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7357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88BC8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6F68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935DE"/>
    <w:multiLevelType w:val="singleLevel"/>
    <w:tmpl w:val="0BE935DE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549D2B4"/>
    <w:multiLevelType w:val="multilevel"/>
    <w:tmpl w:val="1549D2B4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Times New Roman" w:hAnsi="Times New Roman" w:eastAsia="宋体" w:cs="Times New Roman"/>
        <w:b/>
        <w:bCs/>
        <w:color w:val="000000"/>
        <w:sz w:val="32"/>
        <w:szCs w:val="32"/>
      </w:rPr>
    </w:lvl>
    <w:lvl w:ilvl="1" w:tentative="0">
      <w:start w:val="1"/>
      <w:numFmt w:val="decimal"/>
      <w:pStyle w:val="5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tabs>
          <w:tab w:val="left" w:pos="0"/>
        </w:tabs>
        <w:ind w:left="0" w:firstLine="0"/>
      </w:pPr>
      <w:rPr>
        <w:rFonts w:hint="default"/>
        <w:highlight w:val="none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RmMmIxZTUzNDZlNmE0NDY4NmE2ZmUxZGRkZThiZjIifQ=="/>
  </w:docVars>
  <w:rsids>
    <w:rsidRoot w:val="00000000"/>
    <w:rsid w:val="04BF588C"/>
    <w:rsid w:val="10994F52"/>
    <w:rsid w:val="20C54EA8"/>
    <w:rsid w:val="32287192"/>
    <w:rsid w:val="463D0C06"/>
    <w:rsid w:val="51CA0754"/>
    <w:rsid w:val="58BA1767"/>
    <w:rsid w:val="5C9639E6"/>
    <w:rsid w:val="650841F8"/>
    <w:rsid w:val="674B57D7"/>
    <w:rsid w:val="69650B3A"/>
    <w:rsid w:val="7F7F0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5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left="0" w:firstLine="0"/>
      <w:jc w:val="left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32"/>
      <w:szCs w:val="32"/>
    </w:rPr>
  </w:style>
  <w:style w:type="paragraph" w:styleId="5">
    <w:name w:val="heading 2"/>
    <w:basedOn w:val="4"/>
    <w:next w:val="6"/>
    <w:qFormat/>
    <w:uiPriority w:val="0"/>
    <w:pPr>
      <w:keepNext/>
      <w:keepLines/>
      <w:numPr>
        <w:ilvl w:val="1"/>
      </w:numPr>
      <w:spacing w:line="360" w:lineRule="auto"/>
      <w:ind w:left="0" w:firstLine="0"/>
      <w:outlineLvl w:val="1"/>
    </w:pPr>
    <w:rPr>
      <w:rFonts w:eastAsia="楷体"/>
      <w:sz w:val="30"/>
      <w:szCs w:val="30"/>
    </w:rPr>
  </w:style>
  <w:style w:type="paragraph" w:styleId="6">
    <w:name w:val="heading 3"/>
    <w:basedOn w:val="5"/>
    <w:next w:val="1"/>
    <w:qFormat/>
    <w:uiPriority w:val="0"/>
    <w:pPr>
      <w:keepNext/>
      <w:keepLines/>
      <w:numPr>
        <w:ilvl w:val="2"/>
      </w:numPr>
      <w:spacing w:line="240" w:lineRule="auto"/>
      <w:ind w:left="0" w:firstLine="0"/>
      <w:outlineLvl w:val="2"/>
    </w:pPr>
    <w:rPr>
      <w:rFonts w:ascii="Times New Roman" w:hAnsi="Times New Roman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7">
    <w:name w:val="caption"/>
    <w:next w:val="1"/>
    <w:unhideWhenUsed/>
    <w:qFormat/>
    <w:uiPriority w:val="0"/>
    <w:pPr>
      <w:spacing w:line="240" w:lineRule="auto"/>
      <w:jc w:val="center"/>
    </w:pPr>
    <w:rPr>
      <w:rFonts w:ascii="Times New Roman" w:hAnsi="Times New Roman" w:eastAsia="楷体" w:cstheme="minorBidi"/>
      <w:b/>
      <w:bCs/>
      <w:color w:val="000000"/>
      <w:sz w:val="21"/>
      <w:szCs w:val="21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qFormat/>
    <w:uiPriority w:val="0"/>
    <w:pPr>
      <w:spacing w:line="360" w:lineRule="auto"/>
      <w:ind w:firstLine="400" w:firstLineChars="200"/>
      <w:jc w:val="both"/>
    </w:pPr>
    <w:rPr>
      <w:rFonts w:ascii="Times New Roman" w:hAnsi="Times New Roman" w:eastAsia="宋体" w:cs="Times New Roman"/>
      <w:sz w:val="28"/>
      <w:szCs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itle"/>
    <w:qFormat/>
    <w:uiPriority w:val="0"/>
    <w:pPr>
      <w:spacing w:beforeLines="0" w:beforeAutospacing="0" w:afterLines="0" w:afterAutospacing="0"/>
      <w:jc w:val="left"/>
      <w:outlineLvl w:val="0"/>
    </w:pPr>
    <w:rPr>
      <w:rFonts w:ascii="Arial" w:hAnsi="Arial" w:cs="Times New Roman" w:eastAsiaTheme="majorEastAsia"/>
      <w:b/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申报文本"/>
    <w:basedOn w:val="1"/>
    <w:qFormat/>
    <w:uiPriority w:val="0"/>
    <w:pPr>
      <w:spacing w:line="360" w:lineRule="auto"/>
      <w:ind w:firstLine="883" w:firstLineChars="200"/>
    </w:pPr>
    <w:rPr>
      <w:rFonts w:ascii="Times New Roman" w:hAnsi="Times New Roman" w:eastAsia="仿宋" w:cs="Times New Roman"/>
      <w:snapToGrid w:val="0"/>
      <w:color w:val="000000"/>
      <w:kern w:val="0"/>
      <w:sz w:val="28"/>
      <w:szCs w:val="2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图表文本"/>
    <w:basedOn w:val="1"/>
    <w:next w:val="1"/>
    <w:qFormat/>
    <w:uiPriority w:val="0"/>
    <w:pPr>
      <w:adjustRightInd w:val="0"/>
      <w:snapToGrid w:val="0"/>
      <w:spacing w:line="240" w:lineRule="auto"/>
      <w:jc w:val="center"/>
    </w:pPr>
    <w:rPr>
      <w:rFonts w:ascii="Times New Roman" w:hAns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2943</Words>
  <Characters>3329</Characters>
  <TotalTime>22</TotalTime>
  <ScaleCrop>false</ScaleCrop>
  <LinksUpToDate>false</LinksUpToDate>
  <CharactersWithSpaces>3472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2022-07-29T09:38:00Z</dcterms:created>
  <dc:creator>陈志刚</dc:creator>
  <cp:lastModifiedBy>庚鑫。</cp:lastModifiedBy>
  <dcterms:modified xsi:type="dcterms:W3CDTF">2024-07-31T06:52:00Z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2022-09-05T09:57:52Z</vt:filetime>
  </property>
  <property fmtid="{D5CDD505-2E9C-101B-9397-08002B2CF9AE}" pid="4" name="KSOProductBuildVer">
    <vt:lpwstr>2052-12.1.0.17147</vt:lpwstr>
  </property>
  <property fmtid="{D5CDD505-2E9C-101B-9397-08002B2CF9AE}" pid="5" name="ICV">
    <vt:lpwstr>A6646ABD7D744787BC9E8E4B6B2ED57A</vt:lpwstr>
  </property>
</Properties>
</file>